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F6" w:rsidRPr="003B25F6" w:rsidRDefault="003B25F6" w:rsidP="003B25F6">
      <w:pPr>
        <w:pStyle w:val="40"/>
        <w:shd w:val="clear" w:color="auto" w:fill="auto"/>
        <w:spacing w:line="240" w:lineRule="auto"/>
        <w:ind w:firstLine="0"/>
        <w:jc w:val="center"/>
        <w:rPr>
          <w:lang w:val="uk-UA"/>
        </w:rPr>
      </w:pPr>
      <w:bookmarkStart w:id="0" w:name="_GoBack"/>
      <w:bookmarkEnd w:id="0"/>
      <w:r w:rsidRPr="003B25F6">
        <w:rPr>
          <w:lang w:val="uk-UA"/>
        </w:rPr>
        <w:t>Повідомлення про суттєві зміни в майновому стані</w:t>
      </w:r>
    </w:p>
    <w:p w:rsidR="003B25F6" w:rsidRDefault="003B25F6" w:rsidP="003B25F6">
      <w:pPr>
        <w:pStyle w:val="40"/>
        <w:shd w:val="clear" w:color="auto" w:fill="auto"/>
        <w:tabs>
          <w:tab w:val="left" w:pos="906"/>
        </w:tabs>
        <w:spacing w:line="240" w:lineRule="auto"/>
        <w:ind w:firstLine="0"/>
        <w:jc w:val="center"/>
        <w:rPr>
          <w:lang w:val="uk-UA"/>
        </w:rPr>
      </w:pPr>
      <w:r w:rsidRPr="003B25F6">
        <w:rPr>
          <w:lang w:val="uk-UA"/>
        </w:rPr>
        <w:t>за якою формою та яким чином слід подавати повідомлення про суттєві зміни в майновому стані суб’єкта декларування?</w:t>
      </w:r>
    </w:p>
    <w:p w:rsidR="003B25F6" w:rsidRPr="003B25F6" w:rsidRDefault="003B25F6" w:rsidP="003B25F6">
      <w:pPr>
        <w:pStyle w:val="40"/>
        <w:shd w:val="clear" w:color="auto" w:fill="auto"/>
        <w:tabs>
          <w:tab w:val="left" w:pos="906"/>
        </w:tabs>
        <w:spacing w:line="240" w:lineRule="auto"/>
        <w:ind w:firstLine="0"/>
        <w:jc w:val="center"/>
        <w:rPr>
          <w:lang w:val="uk-UA"/>
        </w:rPr>
      </w:pPr>
    </w:p>
    <w:p w:rsidR="003B25F6" w:rsidRPr="003B25F6" w:rsidRDefault="003B25F6" w:rsidP="003B25F6">
      <w:pPr>
        <w:pStyle w:val="20"/>
        <w:shd w:val="clear" w:color="auto" w:fill="auto"/>
        <w:spacing w:after="120" w:line="240" w:lineRule="auto"/>
        <w:ind w:firstLine="567"/>
        <w:rPr>
          <w:lang w:val="uk-UA"/>
        </w:rPr>
      </w:pPr>
      <w:r w:rsidRPr="003B25F6">
        <w:rPr>
          <w:lang w:val="uk-UA"/>
        </w:rPr>
        <w:t>Відповідно до частини другої статті 52 Закону, у разі суттєвої зміни у майновому стані суб’єкта декларування, а саме отримання ним доходу, придбання майна на суму, яка перевищує 50 ПМ, встановлених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3B25F6" w:rsidRPr="003B25F6" w:rsidRDefault="003B25F6" w:rsidP="003B25F6">
      <w:pPr>
        <w:pStyle w:val="20"/>
        <w:shd w:val="clear" w:color="auto" w:fill="auto"/>
        <w:spacing w:after="120" w:line="240" w:lineRule="auto"/>
        <w:ind w:firstLine="567"/>
        <w:rPr>
          <w:lang w:val="uk-UA"/>
        </w:rPr>
      </w:pPr>
      <w:r w:rsidRPr="003B25F6">
        <w:rPr>
          <w:lang w:val="uk-UA"/>
        </w:rPr>
        <w:t>Порядок інформування Національного агентства про суттєві зміни у майновому стані суб’єкта декларування визначений у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який був затверджений рішенням Національно</w:t>
      </w:r>
      <w:r>
        <w:rPr>
          <w:lang w:val="uk-UA"/>
        </w:rPr>
        <w:t>го агентства № 3 від 10.06.2016</w:t>
      </w:r>
      <w:r>
        <w:rPr>
          <w:lang w:val="en-US"/>
        </w:rPr>
        <w:t> </w:t>
      </w:r>
      <w:r w:rsidRPr="003B25F6">
        <w:rPr>
          <w:lang w:val="uk-UA"/>
        </w:rPr>
        <w:t>р. (зареєстровано в Міністерстві юстиції України 15.07.2</w:t>
      </w:r>
      <w:r>
        <w:rPr>
          <w:lang w:val="uk-UA"/>
        </w:rPr>
        <w:t>016 </w:t>
      </w:r>
      <w:r w:rsidRPr="003B25F6">
        <w:rPr>
          <w:lang w:val="uk-UA"/>
        </w:rPr>
        <w:t xml:space="preserve">р. за № 959/29089). Відповідно до пункту 6 Розділу II зазначеного Порядку, суб’єкти декларування письмово повідомляють Національне агентство про суттєві зміни у своєму майновому стані відповідно до частини другої статті 52 Закону шляхом подання відповідного електронного повідомлення до Реєстру через власний персональний електронний кабінет у десятиденний строк з моменту отримання доходу або придбання майна. Зазначене електронне повідомлення подається шляхом заповнення відповідної електронної форми на веб-сайті Реєстру відповідно до технічних вимог до форми. Згідно з пунктом 2 розділу II зазначеного Порядку, повідомлення про суттєві зміни у майновому стані суб’єкта декларування подається через мережу Інтернет з використанням програмних засобів Реєстру у </w:t>
      </w:r>
      <w:r w:rsidRPr="003B25F6">
        <w:rPr>
          <w:lang w:val="uk-UA"/>
        </w:rPr>
        <w:lastRenderedPageBreak/>
        <w:t>власному персональному електронному кабінеті суб’єкта декларування після реєстрації в Реєстрі.</w:t>
      </w:r>
    </w:p>
    <w:p w:rsidR="003B25F6" w:rsidRPr="003B25F6" w:rsidRDefault="003B25F6" w:rsidP="003B25F6">
      <w:pPr>
        <w:pStyle w:val="20"/>
        <w:shd w:val="clear" w:color="auto" w:fill="auto"/>
        <w:spacing w:after="120" w:line="240" w:lineRule="auto"/>
        <w:ind w:firstLine="567"/>
        <w:rPr>
          <w:lang w:val="uk-UA"/>
        </w:rPr>
      </w:pPr>
      <w:r w:rsidRPr="003B25F6">
        <w:rPr>
          <w:lang w:val="uk-UA"/>
        </w:rPr>
        <w:t>Виправлені повідомлення про суттєві зміни у майновому стані суб’єкта декларування до Реєстру не подаються. Повідомлення про суттєві зміни у майновому стані суб’єкта декларування подаються виключно в електронній формі, їх паперова копія не подається.</w:t>
      </w:r>
    </w:p>
    <w:p w:rsidR="003B25F6" w:rsidRPr="003B25F6" w:rsidRDefault="003B25F6" w:rsidP="003B25F6">
      <w:pPr>
        <w:pStyle w:val="20"/>
        <w:shd w:val="clear" w:color="auto" w:fill="auto"/>
        <w:spacing w:after="120" w:line="240" w:lineRule="auto"/>
        <w:ind w:firstLine="567"/>
        <w:rPr>
          <w:lang w:val="uk-UA"/>
        </w:rPr>
      </w:pPr>
      <w:r w:rsidRPr="003B25F6">
        <w:rPr>
          <w:lang w:val="uk-UA"/>
        </w:rPr>
        <w:t>Електронна форма для подання повідомлення про суттєві зміни у майновому стані суб’єкта декларування затверджена ріш</w:t>
      </w:r>
      <w:r>
        <w:rPr>
          <w:lang w:val="uk-UA"/>
        </w:rPr>
        <w:t xml:space="preserve">енням Національного агентства №3 від 10.06.2016 </w:t>
      </w:r>
      <w:r w:rsidRPr="003B25F6">
        <w:rPr>
          <w:lang w:val="uk-UA"/>
        </w:rPr>
        <w:t>р.</w:t>
      </w:r>
      <w:r>
        <w:rPr>
          <w:lang w:val="uk-UA"/>
        </w:rPr>
        <w:t xml:space="preserve"> </w:t>
      </w:r>
      <w:r w:rsidRPr="003B25F6">
        <w:rPr>
          <w:rStyle w:val="41"/>
          <w:sz w:val="28"/>
          <w:szCs w:val="28"/>
        </w:rPr>
        <w:t>із змінами</w:t>
      </w:r>
      <w:r w:rsidRPr="003B25F6">
        <w:rPr>
          <w:rFonts w:ascii="Microsoft Sans Serif" w:eastAsia="Microsoft Sans Serif" w:hAnsi="Microsoft Sans Serif" w:cs="Microsoft Sans Serif"/>
          <w:lang w:val="uk-UA"/>
        </w:rPr>
        <w:t xml:space="preserve"> </w:t>
      </w:r>
      <w:hyperlink r:id="rId4" w:history="1">
        <w:r w:rsidRPr="003B25F6">
          <w:rPr>
            <w:rStyle w:val="a3"/>
            <w:rFonts w:eastAsia="Microsoft Sans Serif"/>
            <w:color w:val="0070C0"/>
            <w:lang w:val="uk-UA"/>
          </w:rPr>
          <w:t>https://rada.gov.ua/uploads/documents/47333.pdf</w:t>
        </w:r>
      </w:hyperlink>
      <w:r w:rsidRPr="003B25F6">
        <w:rPr>
          <w:rFonts w:eastAsia="Microsoft Sans Serif"/>
          <w:color w:val="0070C0"/>
          <w:u w:val="single"/>
          <w:lang w:val="uk-UA"/>
        </w:rPr>
        <w:t>.</w:t>
      </w:r>
    </w:p>
    <w:p w:rsidR="003B25F6" w:rsidRPr="003B25F6" w:rsidRDefault="003B25F6" w:rsidP="003B25F6">
      <w:pPr>
        <w:pStyle w:val="20"/>
        <w:shd w:val="clear" w:color="auto" w:fill="auto"/>
        <w:spacing w:line="240" w:lineRule="auto"/>
        <w:ind w:firstLine="360"/>
        <w:rPr>
          <w:lang w:val="uk-UA"/>
        </w:rPr>
      </w:pPr>
    </w:p>
    <w:p w:rsidR="003B25F6" w:rsidRDefault="003B25F6" w:rsidP="003B25F6">
      <w:pPr>
        <w:pStyle w:val="40"/>
        <w:shd w:val="clear" w:color="auto" w:fill="auto"/>
        <w:tabs>
          <w:tab w:val="left" w:pos="896"/>
        </w:tabs>
        <w:spacing w:line="240" w:lineRule="auto"/>
        <w:ind w:firstLine="0"/>
        <w:jc w:val="center"/>
        <w:rPr>
          <w:lang w:val="uk-UA"/>
        </w:rPr>
      </w:pPr>
      <w:r w:rsidRPr="003B25F6">
        <w:rPr>
          <w:lang w:val="uk-UA"/>
        </w:rPr>
        <w:t>Чи необхідно відображати інформацію, яка була зазначена в повідомленні про суттєві зміни в майновому стані суб’єкта декларування, у декларації такого суб’єкта декларування?</w:t>
      </w:r>
    </w:p>
    <w:p w:rsidR="003B25F6" w:rsidRPr="003B25F6" w:rsidRDefault="003B25F6" w:rsidP="003B25F6">
      <w:pPr>
        <w:pStyle w:val="40"/>
        <w:shd w:val="clear" w:color="auto" w:fill="auto"/>
        <w:tabs>
          <w:tab w:val="left" w:pos="896"/>
        </w:tabs>
        <w:spacing w:line="240" w:lineRule="auto"/>
        <w:ind w:firstLine="0"/>
        <w:jc w:val="center"/>
        <w:rPr>
          <w:lang w:val="uk-UA"/>
        </w:rPr>
      </w:pPr>
    </w:p>
    <w:p w:rsidR="003B25F6" w:rsidRPr="003B25F6" w:rsidRDefault="003B25F6" w:rsidP="003B25F6">
      <w:pPr>
        <w:pStyle w:val="20"/>
        <w:shd w:val="clear" w:color="auto" w:fill="auto"/>
        <w:spacing w:after="120" w:line="240" w:lineRule="auto"/>
        <w:ind w:firstLine="357"/>
        <w:rPr>
          <w:lang w:val="uk-UA"/>
        </w:rPr>
      </w:pPr>
      <w:r w:rsidRPr="003B25F6">
        <w:rPr>
          <w:lang w:val="uk-UA"/>
        </w:rPr>
        <w:t>Подання інформації про суттєві зміни в майновому стані відповідно до статті 52 Закону не звільняє суб’єкта декларування від обов’язку подати декларацію та зазначити в ній відомості, передбачені статтею 46 Закону. Наприклад, у разі отримання доходу на суму вище 50 ПМ суб’єкт декларування повинен надіслати про це повідомлення в Національне агентство шляхом подання відповідної електронної форми на веб-сайті Реєстру. Зазначена інформація повинна бути також відображена у наступній декларації цього суб’єкта декларування, що охоплює відповідний звітний період (наприклад, у наступній щорічній декларації, яка охоплює звітний рік, у якому суб’єкт декларування подав відповідне повідомлення про суттєві зміни в його майновому стані).</w:t>
      </w:r>
    </w:p>
    <w:p w:rsidR="003B25F6" w:rsidRPr="003B25F6" w:rsidRDefault="003B25F6" w:rsidP="003B25F6">
      <w:pPr>
        <w:pStyle w:val="20"/>
        <w:shd w:val="clear" w:color="auto" w:fill="auto"/>
        <w:spacing w:after="120" w:line="240" w:lineRule="auto"/>
        <w:ind w:firstLine="357"/>
        <w:rPr>
          <w:lang w:val="uk-UA"/>
        </w:rPr>
      </w:pPr>
      <w:r w:rsidRPr="003B25F6">
        <w:rPr>
          <w:lang w:val="uk-UA"/>
        </w:rPr>
        <w:t xml:space="preserve">Слід звернути увагу на відмінність у порогах декларування, встановлених Законом для відображення інформації в декларації та повідомленні про суттєві зміни в майновому стані суб’єкта декларування. Так, у повідомленні про суттєві зміни в майновому стані вказується інформація про отримання </w:t>
      </w:r>
      <w:r w:rsidRPr="003B25F6">
        <w:rPr>
          <w:lang w:val="uk-UA"/>
        </w:rPr>
        <w:lastRenderedPageBreak/>
        <w:t>доходу або придбання майна на суму більше 50 ПМ. Цей поріг поширюється також на цінне рухоме майно, яке було придбано суб’єктом декларування. Водночас, відповідно до пункту 3 частини першої статті 46 Закону, у декларації зазначається інформація про цінне рухоме майно (крім транспортних засобів), якщо його вартість перевищує 100 ПМ. Відповідно, у разі придбання цінного рухомого майна (крім транспортних засобів) вартістю більше 50 ПМ, але менше 100 ПМ, інформація про придбання такого майна буде відображена в декларації лише в розділі декларації «Видатки та правочини», оскільки поріг декларування в цьому розділі декларації також становить 50 ПМ.</w:t>
      </w:r>
    </w:p>
    <w:p w:rsidR="003B25F6" w:rsidRPr="003B25F6" w:rsidRDefault="003B25F6" w:rsidP="003B25F6">
      <w:pPr>
        <w:pStyle w:val="20"/>
        <w:shd w:val="clear" w:color="auto" w:fill="auto"/>
        <w:spacing w:after="120" w:line="240" w:lineRule="auto"/>
        <w:ind w:firstLine="357"/>
        <w:rPr>
          <w:sz w:val="20"/>
          <w:szCs w:val="20"/>
          <w:lang w:val="uk-UA"/>
        </w:rPr>
      </w:pPr>
    </w:p>
    <w:p w:rsidR="003B25F6" w:rsidRDefault="003B25F6" w:rsidP="003B25F6">
      <w:pPr>
        <w:pStyle w:val="40"/>
        <w:shd w:val="clear" w:color="auto" w:fill="auto"/>
        <w:tabs>
          <w:tab w:val="left" w:pos="893"/>
        </w:tabs>
        <w:spacing w:line="240" w:lineRule="auto"/>
        <w:ind w:firstLine="0"/>
        <w:jc w:val="center"/>
        <w:rPr>
          <w:lang w:val="uk-UA"/>
        </w:rPr>
      </w:pPr>
      <w:r w:rsidRPr="003B25F6">
        <w:rPr>
          <w:lang w:val="uk-UA"/>
        </w:rPr>
        <w:t>Якщо розмір місячної заробітної плати суб’єкта декларування перевищує 50 МЗП, встановлених на 1 січня відповідного року, чи необхідно подавати щомісяця повідомлення про суттєві зміни в майновому стані суб’єкта декларування?</w:t>
      </w:r>
    </w:p>
    <w:p w:rsidR="003B25F6" w:rsidRPr="003B25F6" w:rsidRDefault="003B25F6" w:rsidP="003B25F6">
      <w:pPr>
        <w:pStyle w:val="40"/>
        <w:shd w:val="clear" w:color="auto" w:fill="auto"/>
        <w:tabs>
          <w:tab w:val="left" w:pos="893"/>
        </w:tabs>
        <w:spacing w:line="240" w:lineRule="auto"/>
        <w:ind w:firstLine="0"/>
        <w:jc w:val="center"/>
        <w:rPr>
          <w:lang w:val="uk-UA"/>
        </w:rPr>
      </w:pPr>
    </w:p>
    <w:p w:rsidR="003B25F6" w:rsidRPr="003B25F6" w:rsidRDefault="003B25F6" w:rsidP="003B25F6">
      <w:pPr>
        <w:pStyle w:val="20"/>
        <w:shd w:val="clear" w:color="auto" w:fill="auto"/>
        <w:spacing w:line="240" w:lineRule="auto"/>
        <w:ind w:firstLine="360"/>
        <w:rPr>
          <w:lang w:val="uk-UA"/>
        </w:rPr>
      </w:pPr>
      <w:r w:rsidRPr="003B25F6">
        <w:rPr>
          <w:lang w:val="uk-UA"/>
        </w:rPr>
        <w:t>Заробітна плата суб’єкта декларування вважається його доходом. Відповідно, якщо суб’єкт декларування отримав одноразовий дохід (у вигляді заробітної плати тощо) у розмірі, що перевищує 50 ПМ, встановлених на 1 січня року, коли такий дохід було отримано, то виникає обов’язок повідомити про це Національне агентство шляхом подання повідомлення про суттєві зміни в майновому стані суб’єкта декларування.</w:t>
      </w:r>
    </w:p>
    <w:p w:rsidR="003B25F6" w:rsidRPr="003B25F6" w:rsidRDefault="003B25F6" w:rsidP="003B25F6">
      <w:pPr>
        <w:ind w:firstLine="567"/>
        <w:jc w:val="both"/>
        <w:rPr>
          <w:rFonts w:ascii="Times New Roman" w:eastAsia="Times New Roman" w:hAnsi="Times New Roman" w:cs="Times New Roman"/>
          <w:color w:val="auto"/>
          <w:sz w:val="16"/>
          <w:szCs w:val="16"/>
        </w:rPr>
      </w:pPr>
    </w:p>
    <w:p w:rsidR="005B4741" w:rsidRPr="003B25F6" w:rsidRDefault="003B25F6" w:rsidP="003B25F6">
      <w:pPr>
        <w:jc w:val="both"/>
      </w:pPr>
      <w:r w:rsidRPr="003B25F6">
        <w:rPr>
          <w:rFonts w:ascii="Times New Roman" w:hAnsi="Times New Roman" w:cs="Times New Roman"/>
        </w:rPr>
        <w:t xml:space="preserve">(Витяг з РОЗ’ЯСНЕНЬ щодо застосування окремих положень Закону України «Про запобігання корупції» стосовно заходів фінансового контролю затверджених Рішенням Національного агентства з питань запобігання корупції від 11 серпня 2016 р. № 3, </w:t>
      </w:r>
      <w:r w:rsidRPr="003B25F6">
        <w:rPr>
          <w:rFonts w:ascii="Times New Roman" w:hAnsi="Times New Roman" w:cs="Times New Roman"/>
          <w:i/>
          <w:iCs/>
        </w:rPr>
        <w:t>зі змінами).</w:t>
      </w:r>
      <w:r w:rsidRPr="003B25F6">
        <w:rPr>
          <w:rFonts w:ascii="Times New Roman" w:hAnsi="Times New Roman" w:cs="Times New Roman"/>
          <w:i/>
          <w:iCs/>
          <w:sz w:val="28"/>
          <w:szCs w:val="28"/>
        </w:rPr>
        <w:t xml:space="preserve"> </w:t>
      </w:r>
      <w:hyperlink r:id="rId5" w:history="1">
        <w:r w:rsidRPr="003B25F6">
          <w:rPr>
            <w:rStyle w:val="a3"/>
            <w:rFonts w:ascii="Times New Roman" w:eastAsia="Calibri" w:hAnsi="Times New Roman" w:cs="Times New Roman"/>
            <w:sz w:val="28"/>
            <w:szCs w:val="28"/>
            <w:lang w:eastAsia="en-US" w:bidi="ar-SA"/>
          </w:rPr>
          <w:t>https://rada.gov.ua/uploads/documents/47333.pdf</w:t>
        </w:r>
      </w:hyperlink>
      <w:r w:rsidRPr="003B25F6">
        <w:rPr>
          <w:rFonts w:ascii="Times New Roman" w:hAnsi="Times New Roman" w:cs="Times New Roman"/>
          <w:i/>
          <w:iCs/>
          <w:sz w:val="28"/>
          <w:szCs w:val="28"/>
        </w:rPr>
        <w:t>).</w:t>
      </w:r>
    </w:p>
    <w:sectPr w:rsidR="005B4741" w:rsidRPr="003B25F6" w:rsidSect="003B25F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F6"/>
    <w:rsid w:val="003B25F6"/>
    <w:rsid w:val="005B4741"/>
    <w:rsid w:val="00F2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E5EDF-9EA6-4386-BBC2-2EB6ED78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5F6"/>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B25F6"/>
    <w:rPr>
      <w:color w:val="0066CC"/>
      <w:u w:val="single"/>
    </w:rPr>
  </w:style>
  <w:style w:type="character" w:customStyle="1" w:styleId="4">
    <w:name w:val="Основной текст (4)_"/>
    <w:basedOn w:val="a0"/>
    <w:link w:val="40"/>
    <w:locked/>
    <w:rsid w:val="003B25F6"/>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3B25F6"/>
    <w:pPr>
      <w:shd w:val="clear" w:color="auto" w:fill="FFFFFF"/>
      <w:spacing w:line="322" w:lineRule="exact"/>
      <w:ind w:hanging="380"/>
    </w:pPr>
    <w:rPr>
      <w:rFonts w:ascii="Times New Roman" w:eastAsia="Times New Roman" w:hAnsi="Times New Roman" w:cs="Times New Roman"/>
      <w:b/>
      <w:bCs/>
      <w:color w:val="auto"/>
      <w:sz w:val="28"/>
      <w:szCs w:val="28"/>
      <w:lang w:val="ru-RU" w:eastAsia="en-US" w:bidi="ar-SA"/>
    </w:rPr>
  </w:style>
  <w:style w:type="character" w:customStyle="1" w:styleId="2">
    <w:name w:val="Основной текст (2)_"/>
    <w:basedOn w:val="a0"/>
    <w:link w:val="20"/>
    <w:locked/>
    <w:rsid w:val="003B25F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B25F6"/>
    <w:pPr>
      <w:shd w:val="clear" w:color="auto" w:fill="FFFFFF"/>
      <w:spacing w:line="0" w:lineRule="atLeast"/>
      <w:ind w:hanging="360"/>
      <w:jc w:val="both"/>
    </w:pPr>
    <w:rPr>
      <w:rFonts w:ascii="Times New Roman" w:eastAsia="Times New Roman" w:hAnsi="Times New Roman" w:cs="Times New Roman"/>
      <w:color w:val="auto"/>
      <w:sz w:val="28"/>
      <w:szCs w:val="28"/>
      <w:lang w:val="ru-RU" w:eastAsia="en-US" w:bidi="ar-SA"/>
    </w:rPr>
  </w:style>
  <w:style w:type="character" w:customStyle="1" w:styleId="41">
    <w:name w:val="Основной текст (4) + Курсив"/>
    <w:basedOn w:val="a0"/>
    <w:rsid w:val="003B25F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4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da.gov.ua/uploads/documents/47333.pdf" TargetMode="External"/><Relationship Id="rId4" Type="http://schemas.openxmlformats.org/officeDocument/2006/relationships/hyperlink" Target="https://rada.gov.ua/uploads/documents/4733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Бойко Юлія Миколаївна</cp:lastModifiedBy>
  <cp:revision>2</cp:revision>
  <dcterms:created xsi:type="dcterms:W3CDTF">2019-10-07T07:11:00Z</dcterms:created>
  <dcterms:modified xsi:type="dcterms:W3CDTF">2019-10-07T07:11:00Z</dcterms:modified>
</cp:coreProperties>
</file>