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B19" w:rsidRPr="001C6B19" w:rsidRDefault="001C6B19" w:rsidP="001C6B19">
      <w:pPr>
        <w:shd w:val="clear" w:color="auto" w:fill="FFFFFF"/>
        <w:spacing w:before="300" w:after="150" w:line="240" w:lineRule="auto"/>
        <w:jc w:val="center"/>
        <w:outlineLvl w:val="0"/>
        <w:rPr>
          <w:rFonts w:ascii="HelveticaNeueCyr-Roman" w:eastAsia="Times New Roman" w:hAnsi="HelveticaNeueCyr-Roman" w:cs="Times New Roman"/>
          <w:color w:val="00274E"/>
          <w:kern w:val="36"/>
          <w:sz w:val="32"/>
          <w:szCs w:val="32"/>
          <w:lang w:eastAsia="ru-RU"/>
        </w:rPr>
      </w:pPr>
      <w:r w:rsidRPr="001C6B19">
        <w:rPr>
          <w:rFonts w:ascii="HelveticaNeueCyr-Roman" w:eastAsia="Times New Roman" w:hAnsi="HelveticaNeueCyr-Roman" w:cs="Times New Roman"/>
          <w:b/>
          <w:bCs/>
          <w:color w:val="00274E"/>
          <w:kern w:val="36"/>
          <w:sz w:val="57"/>
          <w:szCs w:val="57"/>
          <w:lang w:eastAsia="ru-RU"/>
        </w:rPr>
        <w:t> </w:t>
      </w:r>
      <w:r w:rsidRPr="001C6B19">
        <w:rPr>
          <w:rFonts w:ascii="HelveticaNeueCyr-Roman" w:eastAsia="Times New Roman" w:hAnsi="HelveticaNeueCyr-Roman" w:cs="Times New Roman"/>
          <w:b/>
          <w:bCs/>
          <w:color w:val="00274E"/>
          <w:kern w:val="36"/>
          <w:sz w:val="32"/>
          <w:szCs w:val="32"/>
          <w:lang w:eastAsia="ru-RU"/>
        </w:rPr>
        <w:t xml:space="preserve">І Н Ф О </w:t>
      </w:r>
      <w:proofErr w:type="gramStart"/>
      <w:r w:rsidRPr="001C6B19">
        <w:rPr>
          <w:rFonts w:ascii="HelveticaNeueCyr-Roman" w:eastAsia="Times New Roman" w:hAnsi="HelveticaNeueCyr-Roman" w:cs="Times New Roman"/>
          <w:b/>
          <w:bCs/>
          <w:color w:val="00274E"/>
          <w:kern w:val="36"/>
          <w:sz w:val="32"/>
          <w:szCs w:val="32"/>
          <w:lang w:eastAsia="ru-RU"/>
        </w:rPr>
        <w:t>Р</w:t>
      </w:r>
      <w:proofErr w:type="gramEnd"/>
      <w:r w:rsidRPr="001C6B19">
        <w:rPr>
          <w:rFonts w:ascii="HelveticaNeueCyr-Roman" w:eastAsia="Times New Roman" w:hAnsi="HelveticaNeueCyr-Roman" w:cs="Times New Roman"/>
          <w:b/>
          <w:bCs/>
          <w:color w:val="00274E"/>
          <w:kern w:val="36"/>
          <w:sz w:val="32"/>
          <w:szCs w:val="32"/>
          <w:lang w:eastAsia="ru-RU"/>
        </w:rPr>
        <w:t xml:space="preserve"> М А Ц І Я</w:t>
      </w:r>
      <w:bookmarkStart w:id="0" w:name="_GoBack"/>
      <w:bookmarkEnd w:id="0"/>
    </w:p>
    <w:p w:rsidR="001C6B19" w:rsidRPr="001C6B19" w:rsidRDefault="001C6B19" w:rsidP="001C6B19">
      <w:pPr>
        <w:shd w:val="clear" w:color="auto" w:fill="FFFFFF"/>
        <w:spacing w:before="300" w:after="150" w:line="240" w:lineRule="auto"/>
        <w:jc w:val="center"/>
        <w:outlineLvl w:val="0"/>
        <w:rPr>
          <w:rFonts w:ascii="HelveticaNeueCyr-Roman" w:eastAsia="Times New Roman" w:hAnsi="HelveticaNeueCyr-Roman" w:cs="Times New Roman"/>
          <w:color w:val="00274E"/>
          <w:kern w:val="36"/>
          <w:sz w:val="32"/>
          <w:szCs w:val="32"/>
          <w:lang w:eastAsia="ru-RU"/>
        </w:rPr>
      </w:pPr>
      <w:r w:rsidRPr="001C6B19">
        <w:rPr>
          <w:rFonts w:ascii="HelveticaNeueCyr-Roman" w:eastAsia="Times New Roman" w:hAnsi="HelveticaNeueCyr-Roman" w:cs="Times New Roman"/>
          <w:b/>
          <w:bCs/>
          <w:color w:val="00274E"/>
          <w:kern w:val="36"/>
          <w:sz w:val="32"/>
          <w:szCs w:val="32"/>
          <w:lang w:eastAsia="ru-RU"/>
        </w:rPr>
        <w:t>про  діяльність працівників апарату Апеляційного  суду Волинської області щодо організаційного  забезпечення роботи суду </w:t>
      </w:r>
    </w:p>
    <w:p w:rsidR="001C6B19" w:rsidRPr="001C6B19" w:rsidRDefault="001C6B19" w:rsidP="001C6B19">
      <w:pPr>
        <w:shd w:val="clear" w:color="auto" w:fill="FFFFFF"/>
        <w:spacing w:before="300" w:after="150" w:line="240" w:lineRule="auto"/>
        <w:jc w:val="center"/>
        <w:outlineLvl w:val="0"/>
        <w:rPr>
          <w:rFonts w:ascii="HelveticaNeueCyr-Roman" w:eastAsia="Times New Roman" w:hAnsi="HelveticaNeueCyr-Roman" w:cs="Times New Roman"/>
          <w:color w:val="00274E"/>
          <w:kern w:val="36"/>
          <w:sz w:val="32"/>
          <w:szCs w:val="32"/>
          <w:lang w:eastAsia="ru-RU"/>
        </w:rPr>
      </w:pPr>
      <w:r w:rsidRPr="001C6B19">
        <w:rPr>
          <w:rFonts w:ascii="HelveticaNeueCyr-Roman" w:eastAsia="Times New Roman" w:hAnsi="HelveticaNeueCyr-Roman" w:cs="Times New Roman"/>
          <w:b/>
          <w:bCs/>
          <w:color w:val="00274E"/>
          <w:kern w:val="36"/>
          <w:sz w:val="32"/>
          <w:szCs w:val="32"/>
          <w:lang w:eastAsia="ru-RU"/>
        </w:rPr>
        <w:t xml:space="preserve">за  2016 </w:t>
      </w:r>
      <w:proofErr w:type="gramStart"/>
      <w:r w:rsidRPr="001C6B19">
        <w:rPr>
          <w:rFonts w:ascii="HelveticaNeueCyr-Roman" w:eastAsia="Times New Roman" w:hAnsi="HelveticaNeueCyr-Roman" w:cs="Times New Roman"/>
          <w:b/>
          <w:bCs/>
          <w:color w:val="00274E"/>
          <w:kern w:val="36"/>
          <w:sz w:val="32"/>
          <w:szCs w:val="32"/>
          <w:lang w:eastAsia="ru-RU"/>
        </w:rPr>
        <w:t>р</w:t>
      </w:r>
      <w:proofErr w:type="gramEnd"/>
      <w:r w:rsidRPr="001C6B19">
        <w:rPr>
          <w:rFonts w:ascii="HelveticaNeueCyr-Roman" w:eastAsia="Times New Roman" w:hAnsi="HelveticaNeueCyr-Roman" w:cs="Times New Roman"/>
          <w:b/>
          <w:bCs/>
          <w:color w:val="00274E"/>
          <w:kern w:val="36"/>
          <w:sz w:val="32"/>
          <w:szCs w:val="32"/>
          <w:lang w:eastAsia="ru-RU"/>
        </w:rPr>
        <w:t>ік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                       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Відповідно до вимог частини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1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статті 155 Закону України «Про судоустрій і статус суддів» від 02.06.2016 р. № 1402-VI, із наступними змінами /далі - Закону/,  організаційне забезпечення роботи суду здійснює його апарат, який очолює керівник апарату  та несе персональну відповідальність за належне організаційне забезпечення суду, суддів та судового процесу, функціонування автоматизованої системи документообігу.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Діяльність апарату суду визначена Положенням про апарат апеляційного суду Волинської області, затвердженим рішенням зборів суддів апеляційного суду від 25.10.2012 р. №16, погодженим Державною судовою адміністрацією України, зі змінами, внесеними рішенням зборів суддів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в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ід 22.01.2015 року  № 1. 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Організацію внутрішнього службового розпорядку апарату суду визначають Правила внутрішнього службового розпорядку працівників апарату Апеляційного суду Волинської області,  затверджені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р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ішенням зборів працівників апарату Апеляційного суду Волинської області  від 25 жовтня 2016 року № 1 та введені в дію наказом від  25.10.2016 року № 1.12./18. Також в суді діють Правила внутрішнього трудового розпорядку, затверджені зборами трудового колективу апеляційного суду Волинської області 27 січня 2011 р. № 1 та введені в дію наказом від 27.01.2011    № 14, зі змінами від 16.06.20111 № 36.</w:t>
      </w:r>
    </w:p>
    <w:p w:rsidR="001C6B19" w:rsidRPr="001C6B19" w:rsidRDefault="001C6B19" w:rsidP="001C6B19">
      <w:pPr>
        <w:shd w:val="clear" w:color="auto" w:fill="FFFFFF"/>
        <w:spacing w:after="150" w:line="240" w:lineRule="auto"/>
        <w:jc w:val="center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Кадрове забезпечення суду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 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З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метою належного організаційного забезпечення виконання завдань, покладених на апарат суду,  оптимального розподілу обов’язків і навантаження між працівниками апарату та у межах існуючої штатної чисельності 107 одиниць утворено наступні структурні підрозділи:</w:t>
      </w:r>
    </w:p>
    <w:p w:rsidR="001C6B19" w:rsidRPr="001C6B19" w:rsidRDefault="001C6B19" w:rsidP="001C6B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відділ управління персоналом /5 штатних одиниць/;</w:t>
      </w:r>
    </w:p>
    <w:p w:rsidR="001C6B19" w:rsidRPr="001C6B19" w:rsidRDefault="001C6B19" w:rsidP="001C6B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відділ інформаційно-аналітичної роботи /5 шт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.о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д/;</w:t>
      </w:r>
    </w:p>
    <w:p w:rsidR="001C6B19" w:rsidRPr="001C6B19" w:rsidRDefault="001C6B19" w:rsidP="001C6B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відділ забезпечення діяльності судової палати з розгляду кримінальних справ /12 од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./;</w:t>
      </w:r>
      <w:proofErr w:type="gramEnd"/>
    </w:p>
    <w:p w:rsidR="001C6B19" w:rsidRPr="001C6B19" w:rsidRDefault="001C6B19" w:rsidP="001C6B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відділ забезпечення діяльності судової палати з розгляду цивільних справ /14 од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./;</w:t>
      </w:r>
      <w:proofErr w:type="gramEnd"/>
    </w:p>
    <w:p w:rsidR="001C6B19" w:rsidRPr="001C6B19" w:rsidRDefault="001C6B19" w:rsidP="001C6B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відділ прийому громадян та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документального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забезпечення /8 од./;</w:t>
      </w:r>
    </w:p>
    <w:p w:rsidR="001C6B19" w:rsidRPr="001C6B19" w:rsidRDefault="001C6B19" w:rsidP="001C6B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відділ планово-фінансової діяльності, бухгалтерського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обл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іку та звітності /5 од./;;</w:t>
      </w:r>
    </w:p>
    <w:p w:rsidR="001C6B19" w:rsidRPr="001C6B19" w:rsidRDefault="001C6B19" w:rsidP="001C6B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відділ управлінням державним майном /10 од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./;</w:t>
      </w:r>
      <w:proofErr w:type="gramEnd"/>
    </w:p>
    <w:p w:rsidR="001C6B19" w:rsidRPr="001C6B19" w:rsidRDefault="001C6B19" w:rsidP="001C6B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служба судових розпорядників /4 од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./;</w:t>
      </w:r>
      <w:proofErr w:type="gramEnd"/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Також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в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структур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і апарату суду  налічуються такі посади:</w:t>
      </w:r>
    </w:p>
    <w:p w:rsidR="001C6B19" w:rsidRPr="001C6B19" w:rsidRDefault="001C6B19" w:rsidP="001C6B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lastRenderedPageBreak/>
        <w:t>помічник голови суду – 1 шт.од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.; 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помічник заступника голови суду – 2 од.; помічник судді – 36 од.;</w:t>
      </w:r>
    </w:p>
    <w:p w:rsidR="001C6B19" w:rsidRPr="001C6B19" w:rsidRDefault="001C6B19" w:rsidP="001C6B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головний та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пров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ідний спеціалісти з РСО /по 1 шт.од./;</w:t>
      </w:r>
    </w:p>
    <w:p w:rsidR="001C6B19" w:rsidRPr="001C6B19" w:rsidRDefault="001C6B19" w:rsidP="001C6B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керівник апарату суду, заступник керівника апарату /по 1 шт.од./.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 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Положення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про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відділи, посадові інструкції та функціональні обов’язки працівників апарату суду затверджені наказами керівника апарату суду від 28.04.2016 № 1.12/7, 06.11.2015  № 1.12/15, 14.01.2014  № 1.12/1, 03.01.2013  № 1.12/1, 14.11.2012 № 1.17/30,  30.05.2011  № 33.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 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Працівники суду з посадовими (робочими) інструкціями ознайомлені, про що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св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ідчить підпис працівника, копії  роздані.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i/>
          <w:iCs/>
          <w:color w:val="3A3A3A"/>
          <w:sz w:val="24"/>
          <w:szCs w:val="24"/>
          <w:lang w:eastAsia="ru-RU"/>
        </w:rPr>
        <w:t> 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Станом на 31  грудня  2016 року  штатна чисельність  працівникі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в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суду становить 145 штатних одиниць, зокрема: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1"/>
        <w:gridCol w:w="3103"/>
        <w:gridCol w:w="3131"/>
      </w:tblGrid>
      <w:tr w:rsidR="001C6B19" w:rsidRPr="001C6B19" w:rsidTr="001C6B19">
        <w:tc>
          <w:tcPr>
            <w:tcW w:w="31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Категорія  працівникі</w:t>
            </w:r>
            <w:proofErr w:type="gramStart"/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31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Штатна  чисельність</w:t>
            </w:r>
          </w:p>
        </w:tc>
        <w:tc>
          <w:tcPr>
            <w:tcW w:w="31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Фактична  чисельність*</w:t>
            </w:r>
          </w:p>
        </w:tc>
      </w:tr>
      <w:tr w:rsidR="001C6B19" w:rsidRPr="001C6B19" w:rsidTr="001C6B19">
        <w:tc>
          <w:tcPr>
            <w:tcW w:w="31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Судді</w:t>
            </w:r>
          </w:p>
        </w:tc>
        <w:tc>
          <w:tcPr>
            <w:tcW w:w="31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20</w:t>
            </w:r>
          </w:p>
        </w:tc>
      </w:tr>
      <w:tr w:rsidR="001C6B19" w:rsidRPr="001C6B19" w:rsidTr="001C6B19">
        <w:tc>
          <w:tcPr>
            <w:tcW w:w="31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Державні  службовці</w:t>
            </w:r>
          </w:p>
        </w:tc>
        <w:tc>
          <w:tcPr>
            <w:tcW w:w="31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1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51</w:t>
            </w:r>
          </w:p>
        </w:tc>
      </w:tr>
      <w:tr w:rsidR="001C6B19" w:rsidRPr="001C6B19" w:rsidTr="001C6B19">
        <w:tc>
          <w:tcPr>
            <w:tcW w:w="31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Службовці</w:t>
            </w:r>
          </w:p>
        </w:tc>
        <w:tc>
          <w:tcPr>
            <w:tcW w:w="31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5</w:t>
            </w:r>
          </w:p>
        </w:tc>
      </w:tr>
      <w:tr w:rsidR="001C6B19" w:rsidRPr="001C6B19" w:rsidTr="001C6B19">
        <w:tc>
          <w:tcPr>
            <w:tcW w:w="31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Робітники</w:t>
            </w:r>
          </w:p>
        </w:tc>
        <w:tc>
          <w:tcPr>
            <w:tcW w:w="31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6</w:t>
            </w:r>
          </w:p>
        </w:tc>
      </w:tr>
      <w:tr w:rsidR="001C6B19" w:rsidRPr="001C6B19" w:rsidTr="001C6B19">
        <w:tc>
          <w:tcPr>
            <w:tcW w:w="31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Загальна чисельність працівникі</w:t>
            </w:r>
            <w:proofErr w:type="gramStart"/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в</w:t>
            </w:r>
            <w:proofErr w:type="gramEnd"/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 xml:space="preserve"> суду/ працівників апарату суду</w:t>
            </w:r>
          </w:p>
        </w:tc>
        <w:tc>
          <w:tcPr>
            <w:tcW w:w="31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145 / 107</w:t>
            </w:r>
          </w:p>
        </w:tc>
        <w:tc>
          <w:tcPr>
            <w:tcW w:w="31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104 / 84</w:t>
            </w:r>
          </w:p>
        </w:tc>
      </w:tr>
    </w:tbl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 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*Дані зазначено без 8 осіб, які перебувають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у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відпустках, передбачених ст.179 КЗпП України.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 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Станом на 31 січня  2016 року існує вісімнадцять вакантних посад суддів та 27 (двадцять сім) вакантних посад працівників апарату,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в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тому числі 4 тимчасово вакантних посади, зокрема:</w:t>
      </w:r>
    </w:p>
    <w:p w:rsidR="001C6B19" w:rsidRPr="001C6B19" w:rsidRDefault="001C6B19" w:rsidP="001C6B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сімнадцять посад помічника судді,</w:t>
      </w:r>
    </w:p>
    <w:p w:rsidR="001C6B19" w:rsidRPr="001C6B19" w:rsidRDefault="001C6B19" w:rsidP="001C6B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посада начальника відділу управління персоналом;</w:t>
      </w:r>
    </w:p>
    <w:p w:rsidR="001C6B19" w:rsidRPr="001C6B19" w:rsidRDefault="001C6B19" w:rsidP="001C6B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по одній посаді головного спеціаліста в апараті суду; головного спеціаліста відділу планово-фінансової діяльності, бухгалтерського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обл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іку та звітності; секретаря суду; секретаря судового засідання відділу забезпечення діяльності судової палати з розгляду кримінальних справ;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старшого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судового розпорядника;</w:t>
      </w:r>
    </w:p>
    <w:p w:rsidR="001C6B19" w:rsidRPr="001C6B19" w:rsidRDefault="001C6B19" w:rsidP="001C6B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одна посада головного спеціаліста відділу інформаційно-аналітичної роботи; три посади секретарів судових засідань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на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період відпустки по догляду за дитиною основного працівника;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i/>
          <w:iCs/>
          <w:color w:val="3A3A3A"/>
          <w:sz w:val="24"/>
          <w:szCs w:val="24"/>
          <w:lang w:eastAsia="ru-RU"/>
        </w:rPr>
        <w:t> 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lastRenderedPageBreak/>
        <w:t>У 2016 році в апеляційному суді відбулись наступні </w:t>
      </w:r>
      <w:r w:rsidRPr="001C6B19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кадрові зміни</w:t>
      </w: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: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 </w:t>
      </w:r>
    </w:p>
    <w:p w:rsidR="001C6B19" w:rsidRPr="001C6B19" w:rsidRDefault="001C6B19" w:rsidP="001C6B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призначено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на посади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9 працівників, з них: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· на посади державної служби - 6 осіб, в тому числі за результатами конкурсу  - 3 особи, за результатами стажування в порядку переведення з Луцького міськрайонного суду – 2 особи, з головного управління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Д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ержавної казначейської служби України у Волинській області – 1 особа.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· 2 помічників суддів, яких було звільнено в вересні 2016 року та за поданням судді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в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у  жовтні 2016 року було призначено на посади повторно;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 </w:t>
      </w:r>
    </w:p>
    <w:p w:rsidR="001C6B19" w:rsidRPr="001C6B19" w:rsidRDefault="001C6B19" w:rsidP="001C6B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звільнено з займаних посад 18 працівників апарату, з них: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· у зв’язку з обранням суддею Старовижівського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районного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суду – 1 особу;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· у зв’язку з переведенням до Горохівської районної державної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адм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іністрації – 1 особу;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· у зв’язку з закінченням строку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трудового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договору – 12 помічників суддів;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· за угодою сторін – 4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осіб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;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i/>
          <w:iCs/>
          <w:color w:val="3A3A3A"/>
          <w:sz w:val="24"/>
          <w:szCs w:val="24"/>
          <w:lang w:eastAsia="ru-RU"/>
        </w:rPr>
        <w:t> </w:t>
      </w:r>
    </w:p>
    <w:p w:rsidR="001C6B19" w:rsidRPr="001C6B19" w:rsidRDefault="001C6B19" w:rsidP="001C6B1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з 1 травня 2016 року у зв’язку з набранням чинності Закону України «Про державну службу» від 10.12.2015 р. № 889-VIII до посад патронатної служби віднесено посади помічників голови, заступника голови суду та помічникі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в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суддів.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 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 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З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метою реалізації Закону України «Про очищення влади» від 16.09.2014 р. № 1682-VII (зі змінами), відповідно до наказу ДСА України «Про затвердження Плану заходів Державної судової адміністрації України щодо реалізації Закону України «Про очищення влади»» від 05.11.2014 р.    № 153, в Апеляційному суді Волинської області 25 липня 2016 року розпочато проведення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перев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ірки достовірності відомостей щодо застосування заборон, передбачених частинами 3 і 4 статті 1 Закону, до працівників апарату суду.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Станом на 31 грудня 2016 року перевірку пройшли 26 працівникі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в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, про що складено довідки встановленого зразка.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У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січні 2017  року  перевірку пройшли ще 39 працівників.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Відповідно до п. 49²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,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затвердженого постановою Кабінету Міністрів України від 16.10.2014 р. № 563 (зі змінами), у зв’язку зі звільненням вищевказану перевірку було зупинено відносно 14 працівників.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 </w:t>
      </w:r>
    </w:p>
    <w:p w:rsidR="001C6B19" w:rsidRPr="001C6B19" w:rsidRDefault="001C6B19" w:rsidP="001C6B19">
      <w:pPr>
        <w:shd w:val="clear" w:color="auto" w:fill="FFFFFF"/>
        <w:spacing w:after="150" w:line="240" w:lineRule="auto"/>
        <w:jc w:val="center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proofErr w:type="gramStart"/>
      <w:r w:rsidRPr="001C6B19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П</w:t>
      </w:r>
      <w:proofErr w:type="gramEnd"/>
      <w:r w:rsidRPr="001C6B19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ідвищення кваліфікації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 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lastRenderedPageBreak/>
        <w:t>З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метою підвищення кваліфікації працівників апарату суду, щоквартально проводяться навчальні семінари з актуальних питань.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Працівники апарату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п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ідвищують кваліфікацію шляхом:</w:t>
      </w:r>
    </w:p>
    <w:p w:rsidR="001C6B19" w:rsidRPr="001C6B19" w:rsidRDefault="001C6B19" w:rsidP="001C6B1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індиві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дуального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навчання відповідно до затверджених планів;</w:t>
      </w:r>
    </w:p>
    <w:p w:rsidR="001C6B19" w:rsidRPr="001C6B19" w:rsidRDefault="001C6B19" w:rsidP="001C6B1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участі у щоквартальних навчальних семі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нарах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, що проводяться в апеляційному суді відповідно до затвердженого плану;</w:t>
      </w:r>
    </w:p>
    <w:p w:rsidR="001C6B19" w:rsidRPr="001C6B19" w:rsidRDefault="001C6B19" w:rsidP="001C6B1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участі у навчанні, що організовують інші установи (організації),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в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тому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числі участі у вебінарах та дистанційних курсах.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 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Так у 2016 році у Львівському регіональному відділенні Національної школи суддів пройшли навчання 12 працівників апарату суду (6 помічникі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в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, 6 секретарів с/з).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У Волинському обласному центрі перепідготовки та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п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ідвищення кваліфікації працівників органів державної влади, органів місцевого самоврядування, державних підприємств, установ і організацій пройшли навчання з питань у сфері публічних закупівель 3 працівників.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У навчально-методичному центрі цивільного захисту та безпеки життєдіяльності пройшли навчання 6 працівникі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в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, в тому числі керівник апарату та заступник керівника апарату.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Головний спеціалі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ст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з РСО Курта О.В. пройшла навчання з підвищення кваліфікації, що проводили ДСА України разом з представниками СБУ, Державної служби спецв’язку та захисту інформації України.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Начальник відділу інформаційно-аналітичної роботи Потапчук Т.В. взяла участь у навчальному семінарі із застосування системи оцінювання роботи суду, організованому для судді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в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та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працівників апаратів судів громадською організацією «Всеукраїнська коаліція надання правової допомоги».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Окр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ім того Львівським РВ НШС України та ТУ ДСА України в Волинській області на базі апеляційного суду Волинської області 15 березня 2016 року було проведено семінар на тему: «Покращення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р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івня навиків спілкування та роботи працівників суду із людьми з інвалідністю», в якому взяли участь керівник апарату, заступник керівника апарату, начальники відділів, головний спеціаліст відділу діловодства та обліку звернень громадян (канцелярія), секретарі судових засідань, служба судових розпорядників.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 </w:t>
      </w:r>
    </w:p>
    <w:p w:rsidR="001C6B19" w:rsidRPr="001C6B19" w:rsidRDefault="001C6B19" w:rsidP="001C6B19">
      <w:pPr>
        <w:shd w:val="clear" w:color="auto" w:fill="FFFFFF"/>
        <w:spacing w:after="150" w:line="240" w:lineRule="auto"/>
        <w:jc w:val="center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Аналіз роботи по забезпеченню діяльності судових палат.  Здійснення контролю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 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У  2016  році в режимі відеоконференцзв’язку проведено 92 судових засідань, з них: 37- з іншими судами, 55 засідань з установами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Д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ержавної  пенітенціарної служби України. 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 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На виконання наказу ДСА України від 04.02.2014 року № 23 «Про внесення змін до наказу Державної судової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адм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іністрації України від 20.09.2013 року № 119 «Про реалізацію проекту щодо надсилання судами SMS-повідомлень учасникам судового процесу (кримінального провадження) у місцевих та апеляційних загальних судах» було надіслано 60 текстів судових повісток у вигляді SMS-повідомлень, а загалом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над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іслано  SMS-повідомлень.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 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lastRenderedPageBreak/>
        <w:t>З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метою належного організаційного забезпечення  роботи суду систематично проводиться  аналіз ефективності діяльності  апарату суду. Так відповідно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до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планів роботи суду щоквартально проводиться вивчення діяльності апарату суду за окремими напрямками.  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            Зокрема, у 2016 році було проведено вивчення роботи за наступними напрямками: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 </w:t>
      </w:r>
    </w:p>
    <w:p w:rsidR="001C6B19" w:rsidRPr="001C6B19" w:rsidRDefault="001C6B19" w:rsidP="001C6B1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Щодо наявності та стану документів та справ з грифом «Для службового користування» у 2015 році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;</w:t>
      </w:r>
      <w:proofErr w:type="gramEnd"/>
    </w:p>
    <w:p w:rsidR="001C6B19" w:rsidRPr="001C6B19" w:rsidRDefault="001C6B19" w:rsidP="001C6B1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Щодо стану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обл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іку, зберігання і використання печаток, штампів та бланків суворої звітності у 2015 році ;</w:t>
      </w:r>
    </w:p>
    <w:p w:rsidR="001C6B19" w:rsidRPr="001C6B19" w:rsidRDefault="001C6B19" w:rsidP="001C6B1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Аналіз стану виконання заходів по забезпеченню прозорості та відкритості діяльності апеляційного суду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;</w:t>
      </w:r>
      <w:proofErr w:type="gramEnd"/>
    </w:p>
    <w:p w:rsidR="001C6B19" w:rsidRPr="001C6B19" w:rsidRDefault="001C6B19" w:rsidP="001C6B1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Аналіз роботи секретарів судових засідань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за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період з січня по травень 2016 року;</w:t>
      </w:r>
    </w:p>
    <w:p w:rsidR="001C6B19" w:rsidRPr="001C6B19" w:rsidRDefault="001C6B19" w:rsidP="001C6B1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Аналіз роботи відділів забезпечення діяльності судової палати з розгляду кримінальних та з розгляду цивільних справ року за 2015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р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ік;</w:t>
      </w:r>
    </w:p>
    <w:p w:rsidR="001C6B19" w:rsidRPr="001C6B19" w:rsidRDefault="001C6B19" w:rsidP="001C6B1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Аналіз стану організації роботи зі зверненнями громадян за І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п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івріччя та за 2016 рік;</w:t>
      </w:r>
    </w:p>
    <w:p w:rsidR="001C6B19" w:rsidRPr="001C6B19" w:rsidRDefault="001C6B19" w:rsidP="001C6B1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Аналіз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обл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іково-статистичної роботи за І півріччя 2016 року</w:t>
      </w:r>
    </w:p>
    <w:p w:rsidR="001C6B19" w:rsidRPr="001C6B19" w:rsidRDefault="001C6B19" w:rsidP="001C6B1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Проведено перевірку стану робочих кодексів, постанов пленуму Верховного Суду України та постанов пленуму Вищого спеціалізованого суду України з розгляд у цивільних і кримінальних справ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.</w:t>
      </w:r>
      <w:proofErr w:type="gramEnd"/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 </w:t>
      </w:r>
      <w:r w:rsidRPr="001C6B19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 </w:t>
      </w:r>
    </w:p>
    <w:p w:rsidR="001C6B19" w:rsidRPr="001C6B19" w:rsidRDefault="001C6B19" w:rsidP="001C6B19">
      <w:pPr>
        <w:shd w:val="clear" w:color="auto" w:fill="FFFFFF"/>
        <w:spacing w:after="150" w:line="240" w:lineRule="auto"/>
        <w:jc w:val="center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Стан матеріально-технічного забезпечення суду та оплата праці працівникі</w:t>
      </w:r>
      <w:proofErr w:type="gramStart"/>
      <w:r w:rsidRPr="001C6B19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в</w:t>
      </w:r>
      <w:proofErr w:type="gramEnd"/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 </w:t>
      </w: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Відповідно до затвердженого кошторису на 2016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р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ік з врахуванням внесених змін для вирішення потреб Апеляційного суду було виділено з державного бюджету  25825,1тис.грн., в т.ч.: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 </w:t>
      </w:r>
    </w:p>
    <w:p w:rsidR="001C6B19" w:rsidRPr="001C6B19" w:rsidRDefault="001C6B19" w:rsidP="001C6B1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на оплату комунальних послуг</w:t>
      </w: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 у звітному році було виділено 710,2 тис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.г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рн., що відповідає 100 % забезпеченню, заборгованості на кінець року немає.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 </w:t>
      </w:r>
    </w:p>
    <w:p w:rsidR="001C6B19" w:rsidRPr="001C6B19" w:rsidRDefault="001C6B19" w:rsidP="001C6B1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на капітальні видатки</w:t>
      </w: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 для придбання обладнання та предметів довгострокового користування 366,0 тис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.г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рн., у т.ч. додаткові кошти - 30,0 тис.грн.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 </w:t>
      </w:r>
      <w:r w:rsidRPr="001C6B19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3120"/>
        <w:gridCol w:w="1782"/>
        <w:gridCol w:w="1275"/>
        <w:gridCol w:w="1275"/>
      </w:tblGrid>
      <w:tr w:rsidR="001C6B19" w:rsidRPr="001C6B19" w:rsidTr="001C6B19">
        <w:tc>
          <w:tcPr>
            <w:tcW w:w="85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b/>
                <w:bCs/>
                <w:i/>
                <w:iCs/>
                <w:color w:val="3A3A3A"/>
                <w:sz w:val="24"/>
                <w:szCs w:val="24"/>
                <w:lang w:eastAsia="ru-RU"/>
              </w:rPr>
              <w:t>№ з/</w:t>
            </w:r>
            <w:proofErr w:type="gramStart"/>
            <w:r w:rsidRPr="001C6B19">
              <w:rPr>
                <w:rFonts w:ascii="HelveticaNeueCyr-Roman" w:eastAsia="Times New Roman" w:hAnsi="HelveticaNeueCyr-Roman" w:cs="Times New Roman"/>
                <w:b/>
                <w:bCs/>
                <w:i/>
                <w:iCs/>
                <w:color w:val="3A3A3A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12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b/>
                <w:bCs/>
                <w:i/>
                <w:iCs/>
                <w:color w:val="3A3A3A"/>
                <w:sz w:val="24"/>
                <w:szCs w:val="24"/>
                <w:lang w:eastAsia="ru-RU"/>
              </w:rPr>
              <w:t>Найменування обладнання та предметів довгострокового користування</w:t>
            </w:r>
          </w:p>
        </w:tc>
        <w:tc>
          <w:tcPr>
            <w:tcW w:w="169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b/>
                <w:bCs/>
                <w:i/>
                <w:iCs/>
                <w:color w:val="3A3A3A"/>
                <w:sz w:val="24"/>
                <w:szCs w:val="24"/>
                <w:lang w:eastAsia="ru-RU"/>
              </w:rPr>
              <w:t>Заплановано</w:t>
            </w: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 /од</w:t>
            </w:r>
            <w:proofErr w:type="gramStart"/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.</w:t>
            </w:r>
            <w:proofErr w:type="gramEnd"/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а</w:t>
            </w:r>
            <w:proofErr w:type="gramEnd"/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бо на суму/</w:t>
            </w:r>
          </w:p>
        </w:tc>
        <w:tc>
          <w:tcPr>
            <w:tcW w:w="255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b/>
                <w:bCs/>
                <w:i/>
                <w:iCs/>
                <w:color w:val="3A3A3A"/>
                <w:sz w:val="24"/>
                <w:szCs w:val="24"/>
                <w:lang w:eastAsia="ru-RU"/>
              </w:rPr>
              <w:t>Придбано у 2016 р.</w:t>
            </w:r>
          </w:p>
        </w:tc>
      </w:tr>
      <w:tr w:rsidR="001C6B19" w:rsidRPr="001C6B19" w:rsidTr="001C6B19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C6B19" w:rsidRPr="001C6B19" w:rsidRDefault="001C6B19" w:rsidP="001C6B19">
            <w:pPr>
              <w:spacing w:after="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C6B19" w:rsidRPr="001C6B19" w:rsidRDefault="001C6B19" w:rsidP="001C6B19">
            <w:pPr>
              <w:spacing w:after="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C6B19" w:rsidRPr="001C6B19" w:rsidRDefault="001C6B19" w:rsidP="001C6B19">
            <w:pPr>
              <w:spacing w:after="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b/>
                <w:bCs/>
                <w:i/>
                <w:iCs/>
                <w:color w:val="3A3A3A"/>
                <w:sz w:val="24"/>
                <w:szCs w:val="24"/>
                <w:lang w:eastAsia="ru-RU"/>
              </w:rPr>
              <w:t>к-сть</w:t>
            </w:r>
          </w:p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/од./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b/>
                <w:bCs/>
                <w:i/>
                <w:iCs/>
                <w:color w:val="3A3A3A"/>
                <w:sz w:val="24"/>
                <w:szCs w:val="24"/>
                <w:lang w:eastAsia="ru-RU"/>
              </w:rPr>
              <w:t>на суму</w:t>
            </w:r>
          </w:p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i/>
                <w:iCs/>
                <w:color w:val="3A3A3A"/>
                <w:sz w:val="24"/>
                <w:szCs w:val="24"/>
                <w:lang w:eastAsia="ru-RU"/>
              </w:rPr>
              <w:t>/тис</w:t>
            </w:r>
            <w:proofErr w:type="gramStart"/>
            <w:r w:rsidRPr="001C6B19">
              <w:rPr>
                <w:rFonts w:ascii="HelveticaNeueCyr-Roman" w:eastAsia="Times New Roman" w:hAnsi="HelveticaNeueCyr-Roman" w:cs="Times New Roman"/>
                <w:i/>
                <w:iCs/>
                <w:color w:val="3A3A3A"/>
                <w:sz w:val="24"/>
                <w:szCs w:val="24"/>
                <w:lang w:eastAsia="ru-RU"/>
              </w:rPr>
              <w:t>.г</w:t>
            </w:r>
            <w:proofErr w:type="gramEnd"/>
            <w:r w:rsidRPr="001C6B19">
              <w:rPr>
                <w:rFonts w:ascii="HelveticaNeueCyr-Roman" w:eastAsia="Times New Roman" w:hAnsi="HelveticaNeueCyr-Roman" w:cs="Times New Roman"/>
                <w:i/>
                <w:iCs/>
                <w:color w:val="3A3A3A"/>
                <w:sz w:val="24"/>
                <w:szCs w:val="24"/>
                <w:lang w:eastAsia="ru-RU"/>
              </w:rPr>
              <w:t>рн./</w:t>
            </w:r>
          </w:p>
        </w:tc>
      </w:tr>
      <w:tr w:rsidR="001C6B19" w:rsidRPr="001C6B19" w:rsidTr="001C6B19">
        <w:tc>
          <w:tcPr>
            <w:tcW w:w="8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Персональні комп’ютери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158,7</w:t>
            </w:r>
          </w:p>
        </w:tc>
      </w:tr>
      <w:tr w:rsidR="001C6B19" w:rsidRPr="001C6B19" w:rsidTr="001C6B19">
        <w:tc>
          <w:tcPr>
            <w:tcW w:w="8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Багатофункціональні пристрої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3,3</w:t>
            </w:r>
          </w:p>
        </w:tc>
      </w:tr>
      <w:tr w:rsidR="001C6B19" w:rsidRPr="001C6B19" w:rsidTr="001C6B19">
        <w:tc>
          <w:tcPr>
            <w:tcW w:w="8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Копіювальні апарати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19,3</w:t>
            </w:r>
          </w:p>
        </w:tc>
      </w:tr>
      <w:tr w:rsidR="001C6B19" w:rsidRPr="001C6B19" w:rsidTr="001C6B19">
        <w:tc>
          <w:tcPr>
            <w:tcW w:w="8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1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Системи фіксування судового процесу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144,0</w:t>
            </w:r>
          </w:p>
        </w:tc>
      </w:tr>
      <w:tr w:rsidR="001C6B19" w:rsidRPr="001C6B19" w:rsidTr="001C6B19">
        <w:tc>
          <w:tcPr>
            <w:tcW w:w="8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10,7</w:t>
            </w:r>
          </w:p>
        </w:tc>
      </w:tr>
      <w:tr w:rsidR="001C6B19" w:rsidRPr="001C6B19" w:rsidTr="001C6B19">
        <w:tc>
          <w:tcPr>
            <w:tcW w:w="397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  <w:lang w:eastAsia="ru-RU"/>
              </w:rPr>
              <w:t>Всього засобів інформатизації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  <w:lang w:eastAsia="ru-RU"/>
              </w:rPr>
              <w:t>336,0</w:t>
            </w:r>
          </w:p>
        </w:tc>
      </w:tr>
      <w:tr w:rsidR="001C6B19" w:rsidRPr="001C6B19" w:rsidTr="001C6B19">
        <w:tc>
          <w:tcPr>
            <w:tcW w:w="8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Кондиціонери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  <w:lang w:eastAsia="ru-RU"/>
              </w:rPr>
              <w:t>15,0</w:t>
            </w:r>
          </w:p>
        </w:tc>
      </w:tr>
      <w:tr w:rsidR="001C6B19" w:rsidRPr="001C6B19" w:rsidTr="001C6B19">
        <w:tc>
          <w:tcPr>
            <w:tcW w:w="8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Циркуляційний насос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  <w:lang w:eastAsia="ru-RU"/>
              </w:rPr>
              <w:t>15,0</w:t>
            </w:r>
          </w:p>
        </w:tc>
      </w:tr>
      <w:tr w:rsidR="001C6B19" w:rsidRPr="001C6B19" w:rsidTr="001C6B19">
        <w:tc>
          <w:tcPr>
            <w:tcW w:w="397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6B19" w:rsidRPr="001C6B19" w:rsidRDefault="001C6B19" w:rsidP="001C6B19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C6B19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  <w:lang w:eastAsia="ru-RU"/>
              </w:rPr>
              <w:t>366,0</w:t>
            </w:r>
          </w:p>
        </w:tc>
      </w:tr>
    </w:tbl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 </w:t>
      </w:r>
    </w:p>
    <w:p w:rsidR="001C6B19" w:rsidRPr="001C6B19" w:rsidRDefault="001C6B19" w:rsidP="001C6B1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на капітальний ремонт приміщення кошти не виділялись. Проектом бюджету на 2016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р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ік передбачалось </w:t>
      </w:r>
      <w:r w:rsidRPr="001C6B19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883,9 тис.грн.</w:t>
      </w:r>
    </w:p>
    <w:p w:rsidR="001C6B19" w:rsidRPr="001C6B19" w:rsidRDefault="001C6B19" w:rsidP="001C6B1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на оплату поточних видатків </w:t>
      </w:r>
      <w:r w:rsidRPr="001C6B19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1374,0 тис</w:t>
      </w:r>
      <w:proofErr w:type="gramStart"/>
      <w:r w:rsidRPr="001C6B19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.г</w:t>
      </w:r>
      <w:proofErr w:type="gramEnd"/>
      <w:r w:rsidRPr="001C6B19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рн.,</w:t>
      </w: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 в т.ч. додаткові кошти -130,0 тис.грн.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 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            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З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метою забезпечення виконання вимог чинного законодавства  по здійсненню закупівель товарів, робіт та послуг за державні кошти, наказом від 24.09.2015 р. № 1.10/29 затверджено Положення про порядок ведення договірної роботи в Апеляційному суді Волинської області.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Відповідно до Закону України «Про здійснення державних закупівель», наказу ДСА України від 29.02.2016 р. № 37 «Деякі питання впровадження  процедури електронних закупівель», наказу ДСА України від 24.07.2015 р. № 109 «Про  затвердження Порядку організації здійснення закупівель товарів, робіт і послуг» в апеляційному суді здійснення предметів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закупі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вл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і на суму від 20 тисяч грн. проводиться шляхом проведення електронних торгів /за виключенням комунальних послуг, послуг з аварійного ремонту, вивозу сміття, розрахунково-касове обслуговування банківських послуг, послуг зв’язку, послуг з централізованого обслуговування мереж./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 </w:t>
      </w:r>
    </w:p>
    <w:p w:rsidR="001C6B19" w:rsidRPr="001C6B19" w:rsidRDefault="001C6B19" w:rsidP="001C6B19">
      <w:pPr>
        <w:shd w:val="clear" w:color="auto" w:fill="FFFFFF"/>
        <w:spacing w:after="150" w:line="240" w:lineRule="auto"/>
        <w:jc w:val="center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 xml:space="preserve">Доступ громадськості </w:t>
      </w:r>
      <w:proofErr w:type="gramStart"/>
      <w:r w:rsidRPr="001C6B19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до</w:t>
      </w:r>
      <w:proofErr w:type="gramEnd"/>
      <w:r w:rsidRPr="001C6B19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 xml:space="preserve"> суду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            Працівники суду систематично працюють  над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п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ідвищенням якості надання адміністративний судових послуг та відкритістю суду для суспільства.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            З метою покращення доступу до правосуддя та інформування громадськості про діяльність судів рішенням Ради суддів загальних судів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в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ід 28 лютого 2013 року № 12 прийнято рішення щодо організації роботи з інформаційного наповнення і функціонування офіційних веб-сайтів загальних судів на офіційному веб-порталі судової влади України, додатком 1 до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Р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ішення затверджено зміст інформації, яка підлягає оприлюдненню на веб-сторінці суду.  Наказом ДСА України від 17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лютого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2014 р. № 30 затверджено структуру та  Регламент інформаційного наповнення веб-порталу «судова влада України». За супроводження веб-сторінки суду визначено відпові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дальними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керівників апаратів судів. Наказом апеляційного суду  визначено відповідальних осіб суду за внесення інформації на веб-сайт.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Наказом від 23 вересня   2015 року  №  1.10 / 28 «Про організацію виконання вимог  Закону України «Про відкритість використання публічних коштів»  визначено відповідальних осіб за забезпечення своєчасного та повного оприлюднення на Єдиному веб-порталі використання публічних коштів інформації про використання коштів </w:t>
      </w: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lastRenderedPageBreak/>
        <w:t>державного бюджету, коштів загальнообов’язкового державного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соц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іального страхування, розпорядником / одержувачем яких є Апеляційний суд Волинської області.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 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           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Наказом від 30 травня 2011 року № 30 «Про забезпечення доступу до публічної інформації в апеляційному суді Волинської області» затверджено Положення про забезпечення доступу до публічної інформації в апеляційного суду Волинської області та визначено  відповідальних осіб за надання та оприлюднення інформації, віднесеної до публічної.</w:t>
      </w:r>
      <w:proofErr w:type="gramEnd"/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           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З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метою покращення інформаційних судових послуг та на виконання вимог  частини п’ятої статті 5 Закону України "Про звернення громадян" наказом від 02  листопада  2016 року   № 1.12 / 20 створено "гарячу" телефонну лінію Апеляційного суду Волинської області  (тел. 72м 16 19, відділ прийому громадян та документального забезпечення).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 </w:t>
      </w:r>
    </w:p>
    <w:p w:rsidR="001C6B19" w:rsidRPr="001C6B19" w:rsidRDefault="001C6B19" w:rsidP="001C6B19">
      <w:pPr>
        <w:shd w:val="clear" w:color="auto" w:fill="FFFFFF"/>
        <w:spacing w:after="150" w:line="240" w:lineRule="auto"/>
        <w:jc w:val="center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Веб-сайт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 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У відповідності до Комунікаційної стратегії суду, затвердженої наказом від  24 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лютого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  2014  року №  1.10 / 7   в суді систематично проводяться дні «відкритих дверей».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            На виконання вимог п.п.1.4.9 п.1.4 Положення про автоматизовану систему документообігу суду, затвердженого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р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ішенням ради суддів України від 26.11.2010 № 30 (із змінами і доповненнями) , на веб-сайті суду та в АСДС у встановлений строк розміщено Засади використання автоматизованої системи документообігу суду в апеляційному суді Волинської області, затверджені рішенням зборів суду від 7 травня 2015 р. № 7, в редакції від 17 січня 2017 року №1.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 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            У зв’язку з введенням в дію з 1 травня 2016 року Закону України «Про державну службу» від 10.12.2015 р. № 889-VIII  здійснено необхідні організаційні заходи, зокрема:</w:t>
      </w:r>
    </w:p>
    <w:p w:rsidR="001C6B19" w:rsidRPr="001C6B19" w:rsidRDefault="001C6B19" w:rsidP="001C6B1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на веб-сайті суду оновлено рубрику щодо порядку проведення конкурсу на зайняття вакантних посад державних службовці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в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;</w:t>
      </w:r>
    </w:p>
    <w:p w:rsidR="001C6B19" w:rsidRPr="001C6B19" w:rsidRDefault="001C6B19" w:rsidP="001C6B1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р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ішенням зборів працівників апарату суду від 25 жовтня 2016 року №1 затверджено Правила внутрішнього службового розпорядку працівників апарату Апеляційного суду Волинської області  та введено в їх  дію  наказом від 25.10.2016 р. № 1.12/18;</w:t>
      </w:r>
    </w:p>
    <w:p w:rsidR="001C6B19" w:rsidRPr="001C6B19" w:rsidRDefault="001C6B19" w:rsidP="001C6B1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наказом від 25.10.2016 р. № 1.12/19 введено в дію нову редакцію Положення про преміювання працівників апарату апеляційного суду; Положення про порядок надання матеріальної (грошової) допомоги для оздоровлення та для вирішення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соц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іально-побутових питань працівникам апарату суду;</w:t>
      </w:r>
    </w:p>
    <w:p w:rsidR="001C6B19" w:rsidRPr="001C6B19" w:rsidRDefault="001C6B19" w:rsidP="001C6B1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проведено перерахунку стажу державної служби, що дає право на отримання відповідної надбавки та додаткової відпустки;</w:t>
      </w:r>
    </w:p>
    <w:p w:rsidR="001C6B19" w:rsidRPr="001C6B19" w:rsidRDefault="001C6B19" w:rsidP="001C6B1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здійснено всі інші необхідні організаційні заходи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Висновки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Враховуючи результати діяльності у 2016 році, вважаю, що в цілому працівники апарату Апеляційного суду  Волинської області  здійснюють належне організаційне забезпечення </w:t>
      </w: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lastRenderedPageBreak/>
        <w:t>роботи апеляційного суду, окремі помилки і недоліки своєчасно  усуваються  у  процесі  роботи. За сумлінне та які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сне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виконання посадових обов’язків, відповідальне ставлення до виконання завдань суду хочу подякувати усім працівникам апарату суду.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Також  хочу відмітити роботу наступних працівників та керівників структурних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п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ідрозділів, у яких розширена сфера відповідальності, значне навантаження та, одночасно, висока якість роботи і  відповідальне ставлення до роботи:</w:t>
      </w:r>
    </w:p>
    <w:p w:rsidR="001C6B19" w:rsidRPr="001C6B19" w:rsidRDefault="001C6B19" w:rsidP="001C6B1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Мурашкіна А.А., головного спеціаліста відділу управління державним майном, який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окр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ім основної роботи є секретарем комітету з конкурсних торгів, а це значне навантаження та відповідальність,</w:t>
      </w:r>
    </w:p>
    <w:p w:rsidR="001C6B19" w:rsidRPr="001C6B19" w:rsidRDefault="001C6B19" w:rsidP="001C6B1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Андрусік Т.П.,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в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.о. начальника відділу управління персоналом,</w:t>
      </w:r>
    </w:p>
    <w:p w:rsidR="001C6B19" w:rsidRPr="001C6B19" w:rsidRDefault="001C6B19" w:rsidP="001C6B1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Потапчук Т.В., начальника відділу інформаційно-аналітичної роботи,</w:t>
      </w:r>
    </w:p>
    <w:p w:rsidR="001C6B19" w:rsidRPr="001C6B19" w:rsidRDefault="001C6B19" w:rsidP="001C6B1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Кравчук Н.Я., начальника відділу забезпечення діяльності судової палати з розгляду кримінальних справ,</w:t>
      </w:r>
    </w:p>
    <w:p w:rsidR="001C6B19" w:rsidRPr="001C6B19" w:rsidRDefault="001C6B19" w:rsidP="001C6B1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Романову М.М., начальник відділу забезпечення діяльності судової палати з розгляду цивільних справ,</w:t>
      </w:r>
    </w:p>
    <w:p w:rsidR="001C6B19" w:rsidRPr="001C6B19" w:rsidRDefault="001C6B19" w:rsidP="001C6B1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З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інчук М.В., начальник відділу планово-фінансової діяльності, бухгалтерського обліку та звітності,</w:t>
      </w:r>
    </w:p>
    <w:p w:rsidR="001C6B19" w:rsidRPr="001C6B19" w:rsidRDefault="001C6B19" w:rsidP="001C6B1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Войтович Т.В. та Марчук О.М. - начальника відділу та головного 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спец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іаліста відділу прийому громадян та документального забезпечення.</w:t>
      </w:r>
    </w:p>
    <w:p w:rsidR="001C6B19" w:rsidRPr="001C6B19" w:rsidRDefault="001C6B19" w:rsidP="001C6B1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Панасюк Н.П. - заступника керівника апарату суду.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Дякую усі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м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працівникам апарату суду за сумлінне виконання посадових обов’язків, лише завдяки спільній командній праці ми виконуємо покладене статтею 155 Закону України «Про судоустрій і статус суддів» завдання – належне організаційне забезпечення роботи суду та  судового процесу.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 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            Керівник апарату</w:t>
      </w:r>
    </w:p>
    <w:p w:rsidR="001C6B19" w:rsidRPr="001C6B19" w:rsidRDefault="001C6B19" w:rsidP="001C6B19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Апеляційного суду Волинської області                                                   О.М.</w:t>
      </w:r>
      <w:proofErr w:type="gramStart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П</w:t>
      </w:r>
      <w:proofErr w:type="gramEnd"/>
      <w:r w:rsidRPr="001C6B19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ідгайна</w:t>
      </w:r>
    </w:p>
    <w:p w:rsidR="00B6263F" w:rsidRDefault="00B6263F"/>
    <w:sectPr w:rsidR="00B62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5FB4"/>
    <w:multiLevelType w:val="multilevel"/>
    <w:tmpl w:val="865C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A15FD"/>
    <w:multiLevelType w:val="multilevel"/>
    <w:tmpl w:val="5BB0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E112D"/>
    <w:multiLevelType w:val="multilevel"/>
    <w:tmpl w:val="4C4E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015039"/>
    <w:multiLevelType w:val="multilevel"/>
    <w:tmpl w:val="DA72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323D30"/>
    <w:multiLevelType w:val="multilevel"/>
    <w:tmpl w:val="541C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527645"/>
    <w:multiLevelType w:val="multilevel"/>
    <w:tmpl w:val="0062E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F44EFF"/>
    <w:multiLevelType w:val="multilevel"/>
    <w:tmpl w:val="B3C2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7D4027"/>
    <w:multiLevelType w:val="multilevel"/>
    <w:tmpl w:val="9E4C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085405"/>
    <w:multiLevelType w:val="multilevel"/>
    <w:tmpl w:val="2FE4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687728"/>
    <w:multiLevelType w:val="multilevel"/>
    <w:tmpl w:val="FC70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F36A59"/>
    <w:multiLevelType w:val="multilevel"/>
    <w:tmpl w:val="5D5A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0B52D7"/>
    <w:multiLevelType w:val="multilevel"/>
    <w:tmpl w:val="8028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74329F"/>
    <w:multiLevelType w:val="multilevel"/>
    <w:tmpl w:val="762C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12"/>
  </w:num>
  <w:num w:numId="6">
    <w:abstractNumId w:val="3"/>
  </w:num>
  <w:num w:numId="7">
    <w:abstractNumId w:val="10"/>
  </w:num>
  <w:num w:numId="8">
    <w:abstractNumId w:val="6"/>
  </w:num>
  <w:num w:numId="9">
    <w:abstractNumId w:val="8"/>
  </w:num>
  <w:num w:numId="10">
    <w:abstractNumId w:val="5"/>
  </w:num>
  <w:num w:numId="11">
    <w:abstractNumId w:val="11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950"/>
    <w:rsid w:val="001C6B19"/>
    <w:rsid w:val="00595950"/>
    <w:rsid w:val="00B6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6B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B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C6B19"/>
    <w:rPr>
      <w:b/>
      <w:bCs/>
    </w:rPr>
  </w:style>
  <w:style w:type="paragraph" w:styleId="a4">
    <w:name w:val="Normal (Web)"/>
    <w:basedOn w:val="a"/>
    <w:uiPriority w:val="99"/>
    <w:unhideWhenUsed/>
    <w:rsid w:val="001C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C6B1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6B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B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C6B19"/>
    <w:rPr>
      <w:b/>
      <w:bCs/>
    </w:rPr>
  </w:style>
  <w:style w:type="paragraph" w:styleId="a4">
    <w:name w:val="Normal (Web)"/>
    <w:basedOn w:val="a"/>
    <w:uiPriority w:val="99"/>
    <w:unhideWhenUsed/>
    <w:rsid w:val="001C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C6B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6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2672</Words>
  <Characters>15234</Characters>
  <Application>Microsoft Office Word</Application>
  <DocSecurity>0</DocSecurity>
  <Lines>126</Lines>
  <Paragraphs>35</Paragraphs>
  <ScaleCrop>false</ScaleCrop>
  <Company/>
  <LinksUpToDate>false</LinksUpToDate>
  <CharactersWithSpaces>17871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Іванка Валеріївна Ярема</dc:creator>
  <cp:keywords/>
  <dc:description/>
  <cp:lastModifiedBy>Іванка Валеріївна Ярема</cp:lastModifiedBy>
  <cp:revision>2</cp:revision>
  <dcterms:created xsi:type="dcterms:W3CDTF">2018-01-31T10:23:00Z</dcterms:created>
  <dcterms:modified xsi:type="dcterms:W3CDTF">2018-01-31T10:24:00Z</dcterms:modified>
</cp:coreProperties>
</file>