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Додаток 1</w:t>
      </w:r>
    </w:p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331F12" w:rsidRPr="00931420" w:rsidRDefault="00331F12" w:rsidP="003C6F16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від </w:t>
      </w:r>
      <w:r w:rsidR="007C0CE7">
        <w:rPr>
          <w:sz w:val="22"/>
          <w:szCs w:val="22"/>
          <w:lang w:val="uk-UA"/>
        </w:rPr>
        <w:t>05</w:t>
      </w:r>
      <w:r w:rsidR="00356F4C">
        <w:rPr>
          <w:sz w:val="22"/>
          <w:szCs w:val="22"/>
          <w:lang w:val="uk-UA"/>
        </w:rPr>
        <w:t>.1</w:t>
      </w:r>
      <w:r w:rsidR="007C0CE7">
        <w:rPr>
          <w:sz w:val="22"/>
          <w:szCs w:val="22"/>
          <w:lang w:val="uk-UA"/>
        </w:rPr>
        <w:t>2</w:t>
      </w:r>
      <w:r w:rsidR="00356F4C">
        <w:rPr>
          <w:sz w:val="22"/>
          <w:szCs w:val="22"/>
          <w:lang w:val="uk-UA"/>
        </w:rPr>
        <w:t>.2017</w:t>
      </w:r>
      <w:r w:rsidRPr="00931420">
        <w:rPr>
          <w:sz w:val="22"/>
          <w:szCs w:val="22"/>
          <w:lang w:val="uk-UA"/>
        </w:rPr>
        <w:t xml:space="preserve"> р. № 9.12/</w:t>
      </w:r>
      <w:r w:rsidR="00F4123B">
        <w:rPr>
          <w:sz w:val="22"/>
          <w:szCs w:val="22"/>
          <w:lang w:val="uk-UA"/>
        </w:rPr>
        <w:t>6</w:t>
      </w:r>
      <w:r w:rsidR="007C0CE7">
        <w:rPr>
          <w:sz w:val="22"/>
          <w:szCs w:val="22"/>
          <w:lang w:val="uk-UA"/>
        </w:rPr>
        <w:t>6</w:t>
      </w: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331F12" w:rsidRPr="00931420" w:rsidRDefault="00331F12" w:rsidP="00807A0D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331F12" w:rsidRPr="00931420" w:rsidRDefault="00331F12" w:rsidP="00807A0D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 xml:space="preserve">на зайняття вакантної посади державної служби категорії “В” – </w:t>
      </w:r>
      <w:r w:rsidR="00356F4C">
        <w:rPr>
          <w:rStyle w:val="rvts15"/>
          <w:b/>
          <w:bCs/>
          <w:lang w:val="uk-UA"/>
        </w:rPr>
        <w:t>головного спеціаліста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</w:p>
    <w:p w:rsidR="00331F12" w:rsidRPr="00931420" w:rsidRDefault="00331F12" w:rsidP="00807A0D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6353"/>
      </w:tblGrid>
      <w:tr w:rsidR="00331F12" w:rsidRPr="00931420">
        <w:tc>
          <w:tcPr>
            <w:tcW w:w="5000" w:type="pct"/>
            <w:gridSpan w:val="2"/>
            <w:vAlign w:val="center"/>
          </w:tcPr>
          <w:p w:rsidR="00331F12" w:rsidRPr="00931420" w:rsidRDefault="00331F1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4" w:type="pct"/>
          </w:tcPr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2.1. Забезпечує ведення претензійно-позовної роботи, у тому числі: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здійснює підготовку, одержання та складання документів (позовів, заперечень, відгуків, апеляційних та касаційних скарг тощо), необхідних для пред’явлення і розгляду претензій і позовів, стороною яких є Апеляційний суд Волинської області;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здійснює захист інтересів апеляційного суду при розгляді майнових, переддоговірних та інших спорів в судах;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здійснює підготовку заяв та відповідей про перегляд рішень, ухвал, постанов суду;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здійснює організаційно-технічних заходів (реєстрація, облік, зберігання та відправка претензійно-позовних матеріалів);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 xml:space="preserve">- забезпечує контроль за дотриманням строків подання процесуальних та інших документів претензійно-позовних проваджень; 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 xml:space="preserve">- проводить аналіз, узагальнення результатів претензійно-позовної роботи; 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2.2. Разом з іншими керівниками структурних підрозділів та відповідальними особами бере участь в діяльності, пов’язаній з укладенням договорів (контрактів), стороною яких є Апеляційний суд Волинської області, у тому числі: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 бере участь у підготовці та здійсненні заходів, спрямованих на виконання договірних зобов'язань, укладення договорів, необхідних для забезпечення належної життєдіяльності суду та забезпечення здійснення судочинства;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 xml:space="preserve">- погоджує (візує) проекти договорів на предмет їх відповідності чинному законодавству та забезпеченні законних інтересів суду, за наявності погодження (візи) керівників відповідно до їх  компетенції; 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контролює правильність оформлення і достовірність первинних документів, відповідність виконаних робіт (послуг), отриманих товарів умовам договору;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забезпечує реєстрацію, облік та зберігання договорів;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 урахуванням господарських потреб суду разом з керівниками структурних підрозділів може подавати в установленому порядку пропозиції до бюджетного запиту, надає обґрунтовані пропозиції про внесення змін до кошторису;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виконує обов’язки уповноваженої особи суду з питань публічних закупівель на період її відсутності.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2.3. Забезпечує правильне застосування нормативно-правових актів та інших документів, у т.ч.: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lastRenderedPageBreak/>
              <w:t xml:space="preserve">- бере участь у розробленні проектів наказів та розпоряджень, інших документів з питань діяльності апеляційного суду; 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 проводить юридичну експертизу проектів наказів та розпоряджень, інших документів, підготовлених структурними підрозділами підприємства, погоджує (візує). У разі виявлення невідповідності проекту акта чи іншого документа вимогам законодавства подає відповідальним працівникам вмотивовані пропозиції щодо приведення його у відповідність із законодавством;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подає керівнику апарату пропозиції щодо вирішення правових питань, пов'язаних з діяльністю суду.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2.4 Забезпечує систематизацію законодавства та судової практики, рішень Конституційного Суду України, облік та зберігання актів законодавства та судової практики: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веде у встановленому порядку контрольні примірники законодавчих і нормативних актів,  роз’яснень судової практики. Забезпечує своєчасне внесення  в них змін і доповнень;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здійснює довідково-інформаційне забезпечення працівників суду у межах наявного в суді нормативно-правового матеріалу;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- інформує керівника апарату суду про необхідність вжиття заходів для внесення змін до актів та інших документів, визнання їх такими, що втратили чинність, або скасування.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 xml:space="preserve">2.5 Забезпечує розміщення на офіційному веб-сайті суду, та Єдиному </w:t>
            </w:r>
            <w:proofErr w:type="spellStart"/>
            <w:r w:rsidRPr="00DB20F5">
              <w:rPr>
                <w:lang w:val="uk-UA"/>
              </w:rPr>
              <w:t>веб-порталі</w:t>
            </w:r>
            <w:proofErr w:type="spellEnd"/>
            <w:r w:rsidRPr="00DB20F5">
              <w:rPr>
                <w:lang w:val="uk-UA"/>
              </w:rPr>
              <w:t xml:space="preserve"> відкритих даних необхідної інформації</w:t>
            </w:r>
            <w:r>
              <w:rPr>
                <w:lang w:val="uk-UA"/>
              </w:rPr>
              <w:t>,</w:t>
            </w:r>
            <w:r w:rsidRPr="00DB20F5">
              <w:rPr>
                <w:lang w:val="uk-UA"/>
              </w:rPr>
              <w:t xml:space="preserve"> що належить до його компетенції.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2.6 Готує проекти листів та відповідей на запити, заяви і клопотання тощо відповідно до своїх повноважень.</w:t>
            </w:r>
          </w:p>
          <w:p w:rsidR="00DB20F5" w:rsidRPr="00DB20F5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2.7 Координує свою роботу з іншими структурними підрозділами та працівниками апарату суду.</w:t>
            </w:r>
          </w:p>
          <w:p w:rsidR="00331F12" w:rsidRPr="00931420" w:rsidRDefault="00DB20F5" w:rsidP="00DB20F5">
            <w:pPr>
              <w:jc w:val="both"/>
              <w:rPr>
                <w:lang w:val="uk-UA"/>
              </w:rPr>
            </w:pPr>
            <w:r w:rsidRPr="00DB20F5">
              <w:rPr>
                <w:lang w:val="uk-UA"/>
              </w:rPr>
              <w:t>2.8. Виконує інші доручення та накази у  межах своєї компетенції.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356F4C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грн.,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надбавка за вислугу років,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 службовця,</w:t>
            </w:r>
          </w:p>
          <w:p w:rsidR="00331F12" w:rsidRPr="00931420" w:rsidRDefault="00331F12" w:rsidP="00ED2B84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за наявності достатнього фонду оплати праці та за результатами особистого вкладу в загальний  результат роботи – премія.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4" w:type="pct"/>
          </w:tcPr>
          <w:p w:rsidR="00356F4C" w:rsidRPr="00356F4C" w:rsidRDefault="00356F4C" w:rsidP="00556B3F">
            <w:pPr>
              <w:spacing w:line="276" w:lineRule="auto"/>
              <w:jc w:val="both"/>
              <w:rPr>
                <w:b/>
                <w:lang w:val="uk-UA"/>
              </w:rPr>
            </w:pPr>
            <w:r w:rsidRPr="00356F4C">
              <w:rPr>
                <w:b/>
                <w:lang w:val="uk-UA"/>
              </w:rPr>
              <w:t>Перелік документів</w:t>
            </w:r>
            <w:r>
              <w:rPr>
                <w:b/>
                <w:lang w:val="uk-UA"/>
              </w:rPr>
              <w:t>: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="00331F12" w:rsidRPr="00931420">
              <w:rPr>
                <w:lang w:val="uk-UA"/>
              </w:rPr>
              <w:t>копія паспорта громадянина України;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</w:t>
            </w:r>
            <w:r w:rsidR="00331F12" w:rsidRPr="00931420">
              <w:rPr>
                <w:lang w:val="uk-UA"/>
              </w:rPr>
              <w:t>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331F12" w:rsidRPr="00931420" w:rsidRDefault="00356F4C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3) </w:t>
            </w:r>
            <w:r w:rsidR="00331F12" w:rsidRPr="00931420">
              <w:rPr>
                <w:lang w:val="uk-UA"/>
              </w:rPr>
              <w:t xml:space="preserve">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="00331F12"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="00331F12" w:rsidRPr="00931420">
              <w:rPr>
                <w:lang w:val="uk-UA"/>
              </w:rPr>
              <w:t xml:space="preserve"> або </w:t>
            </w:r>
            <w:hyperlink r:id="rId7" w:anchor="n14" w:tgtFrame="_blank" w:history="1">
              <w:r w:rsidR="00331F12"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="00331F12"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</w:t>
            </w:r>
            <w:r w:rsidR="00331F12" w:rsidRPr="00931420">
              <w:rPr>
                <w:lang w:val="uk-UA"/>
              </w:rPr>
              <w:lastRenderedPageBreak/>
              <w:t>відомостей стосовно неї відповідно до зазначеного Закону;</w:t>
            </w:r>
          </w:p>
          <w:p w:rsidR="00331F12" w:rsidRPr="00931420" w:rsidRDefault="00331F12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331F12" w:rsidRPr="00931420" w:rsidRDefault="00331F12" w:rsidP="00556B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bookmarkStart w:id="0" w:name="n345"/>
            <w:bookmarkEnd w:id="0"/>
            <w:r w:rsidRPr="00931420">
              <w:t xml:space="preserve">5) </w:t>
            </w:r>
            <w:r w:rsidR="00356F4C">
              <w:t xml:space="preserve">оригінал </w:t>
            </w:r>
            <w:r w:rsidRPr="00931420">
              <w:t>посвідчення атестації щодо вільного володіння державною мовою;</w:t>
            </w:r>
          </w:p>
          <w:p w:rsidR="00331F12" w:rsidRPr="00931420" w:rsidRDefault="00331F12" w:rsidP="00556B3F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331F12" w:rsidRPr="00931420" w:rsidRDefault="00331F12" w:rsidP="00556B3F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2016 рік;</w:t>
            </w:r>
          </w:p>
          <w:p w:rsidR="00331F12" w:rsidRPr="00356F4C" w:rsidRDefault="00331F12">
            <w:pPr>
              <w:spacing w:line="276" w:lineRule="auto"/>
              <w:jc w:val="both"/>
              <w:rPr>
                <w:sz w:val="16"/>
                <w:szCs w:val="16"/>
                <w:lang w:val="uk-UA"/>
              </w:rPr>
            </w:pP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  <w:r w:rsidRPr="00931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31F12" w:rsidRPr="00931420" w:rsidRDefault="00E633EA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 грудня 2017 року</w:t>
            </w:r>
          </w:p>
        </w:tc>
      </w:tr>
      <w:tr w:rsidR="00331F12" w:rsidRPr="00931420">
        <w:tc>
          <w:tcPr>
            <w:tcW w:w="1776" w:type="pct"/>
          </w:tcPr>
          <w:p w:rsidR="00331F12" w:rsidRPr="00931420" w:rsidRDefault="00356F4C" w:rsidP="00356F4C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</w:t>
            </w:r>
            <w:r w:rsidRPr="00931420">
              <w:rPr>
                <w:b/>
                <w:bCs/>
                <w:lang w:val="uk-UA"/>
              </w:rPr>
              <w:t xml:space="preserve"> час </w:t>
            </w:r>
            <w:r>
              <w:rPr>
                <w:b/>
                <w:bCs/>
                <w:lang w:val="uk-UA"/>
              </w:rPr>
              <w:t>та д</w:t>
            </w:r>
            <w:r w:rsidR="00331F12" w:rsidRPr="00931420">
              <w:rPr>
                <w:b/>
                <w:bCs/>
                <w:lang w:val="uk-UA"/>
              </w:rPr>
              <w:t>ата</w:t>
            </w:r>
            <w:r>
              <w:rPr>
                <w:b/>
                <w:bCs/>
                <w:lang w:val="uk-UA"/>
              </w:rPr>
              <w:t xml:space="preserve"> початку</w:t>
            </w:r>
            <w:r w:rsidR="00331F12"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4" w:type="pct"/>
          </w:tcPr>
          <w:p w:rsidR="00356F4C" w:rsidRDefault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вул. Червоного Хреста, 10, м. Луцьк, Волинська область, 43016, (кабінет № 307).</w:t>
            </w:r>
          </w:p>
          <w:p w:rsidR="00331F12" w:rsidRPr="00931420" w:rsidRDefault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C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6F4C">
              <w:rPr>
                <w:rFonts w:ascii="Times New Roman" w:hAnsi="Times New Roman" w:cs="Times New Roman"/>
                <w:sz w:val="24"/>
                <w:szCs w:val="24"/>
              </w:rPr>
              <w:t xml:space="preserve"> грудня</w:t>
            </w:r>
            <w:r w:rsidR="00331F12"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2017 року </w:t>
            </w:r>
          </w:p>
          <w:p w:rsidR="00331F12" w:rsidRPr="00356F4C" w:rsidRDefault="00331F12" w:rsidP="00356F4C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F12" w:rsidRPr="00931420">
        <w:tc>
          <w:tcPr>
            <w:tcW w:w="1776" w:type="pct"/>
          </w:tcPr>
          <w:p w:rsidR="00331F12" w:rsidRPr="00931420" w:rsidRDefault="00331F1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тел. (0332) 721 438</w:t>
            </w:r>
          </w:p>
          <w:p w:rsidR="00331F12" w:rsidRDefault="00E633EA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8" w:history="1"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proofErr w:type="spellStart"/>
              <w:r w:rsidR="00331F12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  <w:proofErr w:type="spellEnd"/>
            </w:hyperlink>
          </w:p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31F12" w:rsidRDefault="00331F12" w:rsidP="00807A0D">
      <w:pPr>
        <w:rPr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2982"/>
        <w:gridCol w:w="6351"/>
      </w:tblGrid>
      <w:tr w:rsidR="00331F12" w:rsidRPr="00931420">
        <w:tc>
          <w:tcPr>
            <w:tcW w:w="5000" w:type="pct"/>
            <w:gridSpan w:val="3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331F12" w:rsidRPr="00931420">
        <w:trPr>
          <w:trHeight w:val="351"/>
        </w:trPr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Вища, не нижче ступеня молодшого бакалавра або бакалавра</w:t>
            </w:r>
          </w:p>
        </w:tc>
      </w:tr>
      <w:tr w:rsidR="00331F12" w:rsidRPr="00931420"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Не обов’язковий </w:t>
            </w:r>
          </w:p>
        </w:tc>
      </w:tr>
      <w:tr w:rsidR="00331F12" w:rsidRPr="00931420">
        <w:tc>
          <w:tcPr>
            <w:tcW w:w="264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331F12" w:rsidRPr="00931420">
        <w:tc>
          <w:tcPr>
            <w:tcW w:w="5000" w:type="pct"/>
            <w:gridSpan w:val="3"/>
            <w:vAlign w:val="center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77395D" w:rsidRPr="00931420">
        <w:tc>
          <w:tcPr>
            <w:tcW w:w="264" w:type="pct"/>
          </w:tcPr>
          <w:p w:rsidR="0077395D" w:rsidRPr="00931420" w:rsidRDefault="00E633EA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77395D" w:rsidRPr="0077395D" w:rsidRDefault="0077395D" w:rsidP="00736824">
            <w:pPr>
              <w:rPr>
                <w:b/>
                <w:lang w:val="uk-UA"/>
              </w:rPr>
            </w:pPr>
            <w:r w:rsidRPr="0077395D">
              <w:rPr>
                <w:b/>
                <w:lang w:val="uk-UA"/>
              </w:rPr>
              <w:t>Якісне виконання поставлених завдань</w:t>
            </w:r>
          </w:p>
        </w:tc>
        <w:tc>
          <w:tcPr>
            <w:tcW w:w="3223" w:type="pct"/>
          </w:tcPr>
          <w:p w:rsidR="0077395D" w:rsidRPr="0077395D" w:rsidRDefault="0077395D" w:rsidP="00736824">
            <w:pPr>
              <w:rPr>
                <w:lang w:val="uk-UA"/>
              </w:rPr>
            </w:pPr>
            <w:r w:rsidRPr="0077395D">
              <w:rPr>
                <w:lang w:val="uk-UA"/>
              </w:rPr>
              <w:t>Вміння працювати з інформацією;</w:t>
            </w:r>
          </w:p>
          <w:p w:rsidR="0077395D" w:rsidRPr="0077395D" w:rsidRDefault="0077395D" w:rsidP="00736824">
            <w:pPr>
              <w:pStyle w:val="rvps2"/>
              <w:spacing w:before="0" w:beforeAutospacing="0" w:after="0" w:afterAutospacing="0"/>
            </w:pPr>
            <w:r w:rsidRPr="0077395D">
              <w:t>Орієнтація на досягнення кінцевого результату;</w:t>
            </w:r>
          </w:p>
          <w:p w:rsidR="0077395D" w:rsidRPr="0077395D" w:rsidRDefault="0077395D" w:rsidP="00736824">
            <w:pPr>
              <w:rPr>
                <w:lang w:val="uk-UA"/>
              </w:rPr>
            </w:pPr>
            <w:r w:rsidRPr="0077395D">
              <w:rPr>
                <w:lang w:val="uk-UA"/>
              </w:rPr>
              <w:t>Вміння вирішувати комплексні завдання;</w:t>
            </w:r>
          </w:p>
        </w:tc>
      </w:tr>
      <w:tr w:rsidR="0077395D" w:rsidRPr="00931420">
        <w:tc>
          <w:tcPr>
            <w:tcW w:w="264" w:type="pct"/>
          </w:tcPr>
          <w:p w:rsidR="0077395D" w:rsidRDefault="00E633EA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77395D" w:rsidRPr="0077395D" w:rsidRDefault="0077395D" w:rsidP="0073682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Сприйняття змін</w:t>
            </w:r>
          </w:p>
          <w:p w:rsidR="0077395D" w:rsidRPr="0077395D" w:rsidRDefault="0077395D" w:rsidP="00736824">
            <w:pPr>
              <w:rPr>
                <w:b/>
                <w:lang w:val="uk-UA"/>
              </w:rPr>
            </w:pPr>
          </w:p>
        </w:tc>
        <w:tc>
          <w:tcPr>
            <w:tcW w:w="3223" w:type="pct"/>
          </w:tcPr>
          <w:p w:rsidR="0077395D" w:rsidRPr="0077395D" w:rsidRDefault="0077395D" w:rsidP="00736824">
            <w:pPr>
              <w:rPr>
                <w:lang w:val="uk-UA"/>
              </w:rPr>
            </w:pPr>
            <w:r w:rsidRPr="0077395D">
              <w:rPr>
                <w:lang w:val="uk-UA"/>
              </w:rPr>
              <w:t>Здатність приймати зміни та змінюватись;</w:t>
            </w:r>
          </w:p>
          <w:p w:rsidR="0077395D" w:rsidRPr="008E30E3" w:rsidRDefault="0077395D" w:rsidP="00736824">
            <w:r w:rsidRPr="0077395D">
              <w:rPr>
                <w:lang w:val="uk-UA"/>
              </w:rPr>
              <w:t>Виконання плану змін та покращень</w:t>
            </w:r>
          </w:p>
        </w:tc>
      </w:tr>
      <w:tr w:rsidR="0077395D" w:rsidRPr="0077395D">
        <w:tc>
          <w:tcPr>
            <w:tcW w:w="264" w:type="pct"/>
          </w:tcPr>
          <w:p w:rsidR="0077395D" w:rsidRDefault="00E633EA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77395D" w:rsidRPr="00144AE6" w:rsidRDefault="0077395D" w:rsidP="00736824">
            <w:pPr>
              <w:textAlignment w:val="baseline"/>
              <w:rPr>
                <w:b/>
                <w:bCs/>
                <w:lang w:val="uk-UA"/>
              </w:rPr>
            </w:pPr>
            <w:r w:rsidRPr="00144AE6">
              <w:rPr>
                <w:b/>
                <w:bCs/>
                <w:lang w:val="uk-UA"/>
              </w:rPr>
              <w:t>Комунікація та взаємодія</w:t>
            </w:r>
          </w:p>
        </w:tc>
        <w:tc>
          <w:tcPr>
            <w:tcW w:w="3223" w:type="pct"/>
          </w:tcPr>
          <w:p w:rsidR="0077395D" w:rsidRPr="00144AE6" w:rsidRDefault="0077395D" w:rsidP="0077395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144AE6">
              <w:rPr>
                <w:lang w:val="uk-UA" w:eastAsia="uk-UA"/>
              </w:rPr>
              <w:t>міння ефективної комунікації та публічних виступів;</w:t>
            </w:r>
          </w:p>
          <w:p w:rsidR="0077395D" w:rsidRDefault="0077395D" w:rsidP="0077395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Pr="00144AE6">
              <w:rPr>
                <w:lang w:val="uk-UA" w:eastAsia="uk-UA"/>
              </w:rPr>
              <w:t>півпраця та налаг</w:t>
            </w:r>
            <w:r>
              <w:rPr>
                <w:lang w:val="uk-UA" w:eastAsia="uk-UA"/>
              </w:rPr>
              <w:t>одження партнерської взаємодії;</w:t>
            </w:r>
          </w:p>
          <w:p w:rsidR="0077395D" w:rsidRDefault="0077395D" w:rsidP="0077395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144AE6">
              <w:rPr>
                <w:lang w:val="uk-UA" w:eastAsia="uk-UA"/>
              </w:rPr>
              <w:t>ідкритість.</w:t>
            </w:r>
          </w:p>
          <w:p w:rsidR="0077395D" w:rsidRPr="0077395D" w:rsidRDefault="0077395D" w:rsidP="0077395D">
            <w:pPr>
              <w:rPr>
                <w:b/>
                <w:lang w:val="uk-UA"/>
              </w:rPr>
            </w:pPr>
            <w:r w:rsidRPr="0077395D">
              <w:rPr>
                <w:lang w:val="uk-UA"/>
              </w:rPr>
              <w:t>Вміння працювати в команді;</w:t>
            </w:r>
          </w:p>
          <w:p w:rsidR="0077395D" w:rsidRPr="00144AE6" w:rsidRDefault="0077395D" w:rsidP="0077395D">
            <w:pPr>
              <w:rPr>
                <w:lang w:val="uk-UA" w:eastAsia="uk-UA"/>
              </w:rPr>
            </w:pPr>
            <w:r w:rsidRPr="0077395D">
              <w:rPr>
                <w:lang w:val="uk-UA"/>
              </w:rPr>
              <w:t>Вміння ефективної координації з іншими</w:t>
            </w:r>
          </w:p>
        </w:tc>
      </w:tr>
      <w:tr w:rsidR="0061675B" w:rsidRPr="0077395D">
        <w:tc>
          <w:tcPr>
            <w:tcW w:w="264" w:type="pct"/>
          </w:tcPr>
          <w:p w:rsidR="0061675B" w:rsidRDefault="00E633EA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1513" w:type="pct"/>
          </w:tcPr>
          <w:p w:rsidR="0061675B" w:rsidRPr="00144AE6" w:rsidRDefault="0061675B" w:rsidP="00736824">
            <w:pPr>
              <w:textAlignment w:val="baseline"/>
              <w:rPr>
                <w:b/>
                <w:bCs/>
                <w:lang w:val="uk-UA"/>
              </w:rPr>
            </w:pPr>
            <w:r w:rsidRPr="00144AE6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61675B" w:rsidRPr="00144AE6" w:rsidRDefault="0061675B" w:rsidP="0061675B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А</w:t>
            </w:r>
            <w:r w:rsidRPr="00144AE6">
              <w:rPr>
                <w:lang w:val="uk-UA" w:eastAsia="uk-UA"/>
              </w:rPr>
              <w:t>налітичні здібності;</w:t>
            </w:r>
          </w:p>
          <w:p w:rsidR="0061675B" w:rsidRPr="00144AE6" w:rsidRDefault="0061675B" w:rsidP="0061675B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Д</w:t>
            </w:r>
            <w:r w:rsidRPr="00144AE6">
              <w:rPr>
                <w:lang w:val="uk-UA" w:eastAsia="uk-UA"/>
              </w:rPr>
              <w:t>исципліна і системність;</w:t>
            </w:r>
          </w:p>
          <w:p w:rsidR="0061675B" w:rsidRPr="00144AE6" w:rsidRDefault="0061675B" w:rsidP="0061675B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r w:rsidRPr="00144AE6">
              <w:rPr>
                <w:lang w:val="uk-UA" w:eastAsia="uk-UA"/>
              </w:rPr>
              <w:t>амоорганізація та орієнтація на розвиток;</w:t>
            </w:r>
          </w:p>
          <w:p w:rsidR="0061675B" w:rsidRPr="00144AE6" w:rsidRDefault="0061675B" w:rsidP="0061675B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Д</w:t>
            </w:r>
            <w:r w:rsidRPr="00144AE6">
              <w:rPr>
                <w:lang w:val="uk-UA" w:eastAsia="uk-UA"/>
              </w:rPr>
              <w:t>ипломатичність та гнучкість;</w:t>
            </w:r>
          </w:p>
          <w:p w:rsidR="0061675B" w:rsidRPr="00144AE6" w:rsidRDefault="0061675B" w:rsidP="0061675B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144AE6">
              <w:rPr>
                <w:lang w:val="uk-UA" w:eastAsia="uk-UA"/>
              </w:rPr>
              <w:t>міння працювати в стресових ситуаціях</w:t>
            </w:r>
          </w:p>
        </w:tc>
      </w:tr>
      <w:tr w:rsidR="00F42705" w:rsidRPr="00931420" w:rsidTr="00F42705">
        <w:tc>
          <w:tcPr>
            <w:tcW w:w="5000" w:type="pct"/>
            <w:gridSpan w:val="3"/>
          </w:tcPr>
          <w:p w:rsidR="00F42705" w:rsidRPr="00F42705" w:rsidRDefault="00F42705" w:rsidP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05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331F12" w:rsidRPr="00931420" w:rsidTr="00F4123B">
        <w:trPr>
          <w:trHeight w:val="1104"/>
        </w:trPr>
        <w:tc>
          <w:tcPr>
            <w:tcW w:w="264" w:type="pct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331F12" w:rsidRPr="00931420" w:rsidRDefault="00331F1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законодавства</w:t>
            </w:r>
          </w:p>
        </w:tc>
        <w:tc>
          <w:tcPr>
            <w:tcW w:w="3223" w:type="pct"/>
          </w:tcPr>
          <w:p w:rsidR="00331F12" w:rsidRPr="00931420" w:rsidRDefault="00331F12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Конституція України;</w:t>
            </w:r>
          </w:p>
          <w:p w:rsidR="00331F12" w:rsidRPr="00931420" w:rsidRDefault="00F42705">
            <w:pPr>
              <w:widowControl w:val="0"/>
              <w:tabs>
                <w:tab w:val="left" w:pos="-26"/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1F12" w:rsidRPr="00931420">
              <w:rPr>
                <w:lang w:val="uk-UA"/>
              </w:rPr>
              <w:t>) Закон України «Про державну службу»;</w:t>
            </w:r>
          </w:p>
          <w:p w:rsidR="00331F12" w:rsidRPr="00931420" w:rsidRDefault="00F42705" w:rsidP="00F42705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1F12" w:rsidRPr="00931420">
              <w:rPr>
                <w:lang w:val="uk-UA"/>
              </w:rPr>
              <w:t>) Закон України «Про запобігання корупції»;</w:t>
            </w:r>
          </w:p>
        </w:tc>
      </w:tr>
      <w:tr w:rsidR="00331F12" w:rsidRPr="00931420">
        <w:tc>
          <w:tcPr>
            <w:tcW w:w="264" w:type="pct"/>
          </w:tcPr>
          <w:p w:rsidR="00331F12" w:rsidRPr="00931420" w:rsidRDefault="00F4123B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331F12" w:rsidRPr="00931420" w:rsidRDefault="00F42705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Знання спеціального законодавства, що пов’язане із завданням та змістом роботи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931420">
              <w:rPr>
                <w:lang w:val="uk-UA"/>
              </w:rPr>
              <w:t>) Кримінальний кодекс</w:t>
            </w:r>
            <w:r>
              <w:rPr>
                <w:lang w:val="uk-UA"/>
              </w:rPr>
              <w:t xml:space="preserve"> України</w:t>
            </w:r>
            <w:r w:rsidRPr="00931420">
              <w:rPr>
                <w:lang w:val="uk-UA"/>
              </w:rPr>
              <w:t>;</w:t>
            </w:r>
          </w:p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931420">
              <w:rPr>
                <w:lang w:val="uk-UA"/>
              </w:rPr>
              <w:t>) Кримінальний процесуальний кодекс;</w:t>
            </w:r>
          </w:p>
          <w:p w:rsidR="00F42705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31420">
              <w:rPr>
                <w:lang w:val="uk-UA"/>
              </w:rPr>
              <w:t>) Кодекс України про адміністративні правопорушення;</w:t>
            </w:r>
          </w:p>
          <w:p w:rsidR="00F42705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4) Цивільний кодекс України;</w:t>
            </w:r>
          </w:p>
          <w:p w:rsidR="00F42705" w:rsidRPr="00931420" w:rsidRDefault="00F42705" w:rsidP="00F4270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5) Цивільний процесуальний кодекс;</w:t>
            </w:r>
          </w:p>
          <w:p w:rsidR="00F42705" w:rsidRPr="00931420" w:rsidRDefault="00F42705" w:rsidP="0061675B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31420">
              <w:rPr>
                <w:lang w:val="uk-UA"/>
              </w:rPr>
              <w:t>) Закон</w:t>
            </w:r>
            <w:r w:rsidR="0061675B">
              <w:rPr>
                <w:lang w:val="uk-UA"/>
              </w:rPr>
              <w:t>и</w:t>
            </w:r>
            <w:r w:rsidRPr="00931420">
              <w:rPr>
                <w:lang w:val="uk-UA"/>
              </w:rPr>
              <w:t xml:space="preserve"> України «Про судоустрій та статус суддів»;</w:t>
            </w:r>
            <w:r w:rsidR="0061675B">
              <w:rPr>
                <w:lang w:val="uk-UA"/>
              </w:rPr>
              <w:t xml:space="preserve"> </w:t>
            </w:r>
            <w:r w:rsidR="0061675B" w:rsidRPr="0061675B">
              <w:rPr>
                <w:lang w:val="uk-UA"/>
              </w:rPr>
              <w:t>«Про публічні закупівлі», «Про відкритість використання публічних коштів»</w:t>
            </w:r>
            <w:r w:rsidR="0061675B">
              <w:rPr>
                <w:lang w:val="uk-UA"/>
              </w:rPr>
              <w:t>, «Про доступ до публічної інформацію», «Про захист персональних даних»</w:t>
            </w:r>
          </w:p>
          <w:p w:rsidR="00331F12" w:rsidRPr="00F42705" w:rsidRDefault="00331F12" w:rsidP="00F42705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F12" w:rsidRPr="00931420" w:rsidRDefault="00331F12" w:rsidP="00BA17B8">
      <w:pPr>
        <w:jc w:val="center"/>
        <w:rPr>
          <w:lang w:val="uk-UA"/>
        </w:rPr>
      </w:pPr>
      <w:r w:rsidRPr="00931420">
        <w:rPr>
          <w:lang w:val="uk-UA"/>
        </w:rPr>
        <w:lastRenderedPageBreak/>
        <w:t>_________________________</w:t>
      </w:r>
    </w:p>
    <w:sectPr w:rsidR="00331F12" w:rsidRPr="00931420" w:rsidSect="00CB1B1E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6730"/>
    <w:multiLevelType w:val="multilevel"/>
    <w:tmpl w:val="65863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2D5630"/>
    <w:multiLevelType w:val="hybridMultilevel"/>
    <w:tmpl w:val="A1BAC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11549"/>
    <w:multiLevelType w:val="hybridMultilevel"/>
    <w:tmpl w:val="222AEA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DCD"/>
    <w:rsid w:val="00010B81"/>
    <w:rsid w:val="000779EE"/>
    <w:rsid w:val="00091DD3"/>
    <w:rsid w:val="00114B54"/>
    <w:rsid w:val="00181DCD"/>
    <w:rsid w:val="001B31ED"/>
    <w:rsid w:val="001D1767"/>
    <w:rsid w:val="00206926"/>
    <w:rsid w:val="00277D9A"/>
    <w:rsid w:val="002B399D"/>
    <w:rsid w:val="002B483A"/>
    <w:rsid w:val="0030653E"/>
    <w:rsid w:val="00331F12"/>
    <w:rsid w:val="00356F4C"/>
    <w:rsid w:val="003607A1"/>
    <w:rsid w:val="00365D5E"/>
    <w:rsid w:val="0038034A"/>
    <w:rsid w:val="00396124"/>
    <w:rsid w:val="003C6F16"/>
    <w:rsid w:val="004A0F14"/>
    <w:rsid w:val="00543C62"/>
    <w:rsid w:val="00556B3F"/>
    <w:rsid w:val="005D0DCB"/>
    <w:rsid w:val="0061675B"/>
    <w:rsid w:val="00616BD6"/>
    <w:rsid w:val="00657786"/>
    <w:rsid w:val="006A4EB9"/>
    <w:rsid w:val="006E3C77"/>
    <w:rsid w:val="0077395D"/>
    <w:rsid w:val="007B0789"/>
    <w:rsid w:val="007C0CE7"/>
    <w:rsid w:val="007D4BFC"/>
    <w:rsid w:val="00807A0D"/>
    <w:rsid w:val="00865D56"/>
    <w:rsid w:val="008D53FF"/>
    <w:rsid w:val="00931420"/>
    <w:rsid w:val="00937B04"/>
    <w:rsid w:val="00A6242E"/>
    <w:rsid w:val="00B33E4A"/>
    <w:rsid w:val="00B75157"/>
    <w:rsid w:val="00BA17B8"/>
    <w:rsid w:val="00BE6ED6"/>
    <w:rsid w:val="00C07867"/>
    <w:rsid w:val="00CB1B1E"/>
    <w:rsid w:val="00CB3A26"/>
    <w:rsid w:val="00CC7C8F"/>
    <w:rsid w:val="00D21CDD"/>
    <w:rsid w:val="00D44C26"/>
    <w:rsid w:val="00DB20F5"/>
    <w:rsid w:val="00E633EA"/>
    <w:rsid w:val="00E720F3"/>
    <w:rsid w:val="00E97777"/>
    <w:rsid w:val="00EA6423"/>
    <w:rsid w:val="00ED2B84"/>
    <w:rsid w:val="00F01AE2"/>
    <w:rsid w:val="00F4123B"/>
    <w:rsid w:val="00F42705"/>
    <w:rsid w:val="00FA2FFB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07A0D"/>
    <w:rPr>
      <w:color w:val="0000FF"/>
      <w:u w:val="single"/>
    </w:rPr>
  </w:style>
  <w:style w:type="paragraph" w:customStyle="1" w:styleId="rvps7">
    <w:name w:val="rvps7"/>
    <w:basedOn w:val="a"/>
    <w:uiPriority w:val="99"/>
    <w:rsid w:val="00807A0D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807A0D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807A0D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uiPriority w:val="99"/>
    <w:rsid w:val="00807A0D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807A0D"/>
  </w:style>
  <w:style w:type="character" w:customStyle="1" w:styleId="rvts15">
    <w:name w:val="rvts15"/>
    <w:uiPriority w:val="99"/>
    <w:rsid w:val="00807A0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206926"/>
  </w:style>
  <w:style w:type="character" w:customStyle="1" w:styleId="rvts46">
    <w:name w:val="rvts46"/>
    <w:basedOn w:val="a0"/>
    <w:uiPriority w:val="99"/>
    <w:rsid w:val="00206926"/>
  </w:style>
  <w:style w:type="paragraph" w:styleId="a6">
    <w:name w:val="Balloon Text"/>
    <w:basedOn w:val="a"/>
    <w:link w:val="a7"/>
    <w:uiPriority w:val="99"/>
    <w:semiHidden/>
    <w:unhideWhenUsed/>
    <w:rsid w:val="00F42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427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vla.cour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Петрівна Панасюк</dc:creator>
  <cp:keywords/>
  <dc:description/>
  <cp:lastModifiedBy>Тетяна Петрівна Андрусік</cp:lastModifiedBy>
  <cp:revision>27</cp:revision>
  <cp:lastPrinted>2017-12-05T10:47:00Z</cp:lastPrinted>
  <dcterms:created xsi:type="dcterms:W3CDTF">2017-02-02T15:28:00Z</dcterms:created>
  <dcterms:modified xsi:type="dcterms:W3CDTF">2017-12-05T12:59:00Z</dcterms:modified>
</cp:coreProperties>
</file>